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1CB7" w:rsidRDefault="00C91CB7" w:rsidP="00C91CB7">
      <w:pPr>
        <w:jc w:val="center"/>
        <w:rPr>
          <w:b/>
          <w:sz w:val="56"/>
          <w:szCs w:val="56"/>
        </w:rPr>
      </w:pPr>
    </w:p>
    <w:p w:rsidR="00C91CB7" w:rsidRDefault="00C91CB7" w:rsidP="00C91CB7">
      <w:pPr>
        <w:jc w:val="center"/>
        <w:rPr>
          <w:b/>
          <w:sz w:val="56"/>
          <w:szCs w:val="56"/>
        </w:rPr>
      </w:pPr>
    </w:p>
    <w:p w:rsidR="00C91CB7" w:rsidRDefault="00C91CB7" w:rsidP="00C91CB7">
      <w:pPr>
        <w:jc w:val="center"/>
        <w:rPr>
          <w:b/>
          <w:sz w:val="56"/>
          <w:szCs w:val="56"/>
        </w:rPr>
      </w:pPr>
    </w:p>
    <w:p w:rsidR="00C91CB7" w:rsidRPr="00022F08" w:rsidRDefault="00C91CB7" w:rsidP="00C91CB7">
      <w:pPr>
        <w:jc w:val="center"/>
        <w:rPr>
          <w:rFonts w:ascii="Calibri" w:eastAsia="Calibri" w:hAnsi="Calibri" w:cs="Calibri"/>
          <w:b/>
          <w:sz w:val="56"/>
          <w:szCs w:val="56"/>
        </w:rPr>
      </w:pPr>
      <w:r w:rsidRPr="00022F08">
        <w:rPr>
          <w:rFonts w:ascii="Calibri" w:eastAsia="Calibri" w:hAnsi="Calibri" w:cs="Calibri"/>
          <w:b/>
          <w:sz w:val="56"/>
          <w:szCs w:val="56"/>
        </w:rPr>
        <w:t>R</w:t>
      </w:r>
      <w:r w:rsidRPr="00022F08">
        <w:rPr>
          <w:rFonts w:cstheme="minorHAnsi"/>
          <w:b/>
          <w:sz w:val="56"/>
          <w:szCs w:val="56"/>
        </w:rPr>
        <w:t>éponse</w:t>
      </w:r>
      <w:r w:rsidRPr="00022F08">
        <w:rPr>
          <w:rFonts w:ascii="Calibri" w:eastAsia="Calibri" w:hAnsi="Calibri" w:cs="Calibri"/>
          <w:b/>
          <w:sz w:val="56"/>
          <w:szCs w:val="56"/>
        </w:rPr>
        <w:t xml:space="preserve"> </w:t>
      </w:r>
      <w:r w:rsidRPr="00022F08">
        <w:rPr>
          <w:rFonts w:cstheme="minorHAnsi"/>
          <w:b/>
          <w:sz w:val="56"/>
          <w:szCs w:val="56"/>
        </w:rPr>
        <w:t>d’Enedis</w:t>
      </w:r>
      <w:r w:rsidRPr="00022F08">
        <w:rPr>
          <w:rFonts w:ascii="Calibri" w:eastAsia="Calibri" w:hAnsi="Calibri" w:cs="Calibri"/>
          <w:b/>
          <w:sz w:val="56"/>
          <w:szCs w:val="56"/>
        </w:rPr>
        <w:t xml:space="preserve"> </w:t>
      </w:r>
    </w:p>
    <w:p w:rsidR="00C91CB7" w:rsidRPr="00022F08" w:rsidRDefault="00C91CB7" w:rsidP="00C91CB7">
      <w:pPr>
        <w:jc w:val="center"/>
        <w:rPr>
          <w:rFonts w:ascii="Calibri" w:eastAsia="Calibri" w:hAnsi="Calibri" w:cs="Calibri"/>
          <w:sz w:val="48"/>
          <w:szCs w:val="48"/>
        </w:rPr>
      </w:pPr>
      <w:proofErr w:type="gramStart"/>
      <w:r w:rsidRPr="00022F08">
        <w:rPr>
          <w:rFonts w:ascii="Calibri" w:eastAsia="Calibri" w:hAnsi="Calibri" w:cs="Calibri"/>
          <w:sz w:val="48"/>
          <w:szCs w:val="48"/>
        </w:rPr>
        <w:t>à</w:t>
      </w:r>
      <w:proofErr w:type="gramEnd"/>
      <w:r w:rsidRPr="00022F08">
        <w:rPr>
          <w:rFonts w:ascii="Calibri" w:eastAsia="Calibri" w:hAnsi="Calibri" w:cs="Calibri"/>
          <w:sz w:val="48"/>
          <w:szCs w:val="48"/>
        </w:rPr>
        <w:t xml:space="preserve"> la</w:t>
      </w:r>
    </w:p>
    <w:p w:rsidR="00C91CB7" w:rsidRPr="00022F08" w:rsidRDefault="00C91CB7" w:rsidP="00C91CB7">
      <w:pPr>
        <w:jc w:val="center"/>
        <w:rPr>
          <w:rFonts w:ascii="Calibri" w:eastAsia="Calibri" w:hAnsi="Calibri" w:cs="Calibri"/>
          <w:sz w:val="48"/>
          <w:szCs w:val="48"/>
        </w:rPr>
      </w:pPr>
      <w:r w:rsidRPr="00022F08">
        <w:rPr>
          <w:rFonts w:cstheme="minorHAnsi"/>
          <w:sz w:val="48"/>
          <w:szCs w:val="48"/>
        </w:rPr>
        <w:t>Consultation publique de l’ARCEP</w:t>
      </w:r>
    </w:p>
    <w:p w:rsidR="00C91CB7" w:rsidRPr="00022F08" w:rsidRDefault="00C91CB7" w:rsidP="00C91CB7">
      <w:pPr>
        <w:jc w:val="center"/>
        <w:rPr>
          <w:rFonts w:ascii="Calibri" w:eastAsia="Calibri" w:hAnsi="Calibri" w:cs="Calibri"/>
          <w:i/>
          <w:sz w:val="40"/>
          <w:szCs w:val="40"/>
        </w:rPr>
      </w:pPr>
      <w:proofErr w:type="gramStart"/>
      <w:r w:rsidRPr="00022F08">
        <w:rPr>
          <w:rFonts w:cstheme="minorHAnsi"/>
          <w:i/>
          <w:sz w:val="40"/>
          <w:szCs w:val="40"/>
        </w:rPr>
        <w:t>d</w:t>
      </w:r>
      <w:r w:rsidRPr="00022F08">
        <w:rPr>
          <w:rFonts w:ascii="Calibri" w:eastAsia="Calibri" w:hAnsi="Calibri" w:cs="Calibri"/>
          <w:i/>
          <w:sz w:val="40"/>
          <w:szCs w:val="40"/>
        </w:rPr>
        <w:t>u</w:t>
      </w:r>
      <w:proofErr w:type="gramEnd"/>
      <w:r w:rsidRPr="00022F08">
        <w:rPr>
          <w:rFonts w:ascii="Calibri" w:eastAsia="Calibri" w:hAnsi="Calibri" w:cs="Calibri"/>
          <w:i/>
          <w:sz w:val="40"/>
          <w:szCs w:val="40"/>
        </w:rPr>
        <w:t xml:space="preserve"> 16 juillet 2016 au 16 septembre 2016</w:t>
      </w:r>
    </w:p>
    <w:p w:rsidR="00C91CB7" w:rsidRPr="00022F08" w:rsidRDefault="00C91CB7" w:rsidP="00C91CB7">
      <w:pPr>
        <w:jc w:val="center"/>
        <w:rPr>
          <w:rFonts w:cstheme="minorHAnsi"/>
          <w:i/>
          <w:iCs/>
        </w:rPr>
      </w:pPr>
      <w:r w:rsidRPr="00022F08">
        <w:rPr>
          <w:rFonts w:ascii="Calibri" w:eastAsia="Calibri" w:hAnsi="Calibri" w:cs="Calibri"/>
          <w:i/>
          <w:iCs/>
        </w:rPr>
        <w:t xml:space="preserve">Préparer la révolution de l'internet des objets </w:t>
      </w:r>
    </w:p>
    <w:p w:rsidR="00C91CB7" w:rsidRPr="00022F08" w:rsidRDefault="00C91CB7" w:rsidP="00C91CB7">
      <w:pPr>
        <w:jc w:val="center"/>
        <w:rPr>
          <w:rFonts w:cstheme="minorHAnsi"/>
          <w:i/>
          <w:iCs/>
        </w:rPr>
      </w:pPr>
    </w:p>
    <w:p w:rsidR="00C91CB7" w:rsidRPr="00022F08" w:rsidRDefault="00C91CB7" w:rsidP="00C91CB7">
      <w:pPr>
        <w:jc w:val="center"/>
        <w:rPr>
          <w:rFonts w:cstheme="minorHAnsi"/>
          <w:i/>
          <w:iCs/>
        </w:rPr>
      </w:pPr>
    </w:p>
    <w:p w:rsidR="00C91CB7" w:rsidRPr="00022F08" w:rsidRDefault="00C91CB7" w:rsidP="00C91CB7">
      <w:pPr>
        <w:jc w:val="center"/>
        <w:rPr>
          <w:rFonts w:cstheme="minorHAnsi"/>
          <w:i/>
          <w:iCs/>
        </w:rPr>
      </w:pPr>
    </w:p>
    <w:p w:rsidR="00C91CB7" w:rsidRPr="00022F08" w:rsidRDefault="00C91CB7" w:rsidP="00C91CB7">
      <w:pPr>
        <w:autoSpaceDE w:val="0"/>
        <w:autoSpaceDN w:val="0"/>
        <w:adjustRightInd w:val="0"/>
        <w:spacing w:after="0" w:line="240" w:lineRule="auto"/>
        <w:jc w:val="right"/>
        <w:rPr>
          <w:rFonts w:cstheme="minorHAnsi"/>
          <w:i/>
          <w:sz w:val="24"/>
          <w:szCs w:val="24"/>
        </w:rPr>
      </w:pPr>
    </w:p>
    <w:p w:rsidR="00C91CB7" w:rsidRPr="00022F08" w:rsidRDefault="00C91CB7" w:rsidP="00C91CB7">
      <w:pPr>
        <w:autoSpaceDE w:val="0"/>
        <w:autoSpaceDN w:val="0"/>
        <w:adjustRightInd w:val="0"/>
        <w:spacing w:after="0" w:line="240" w:lineRule="auto"/>
        <w:jc w:val="right"/>
        <w:rPr>
          <w:rFonts w:cstheme="minorHAnsi"/>
          <w:i/>
          <w:sz w:val="24"/>
          <w:szCs w:val="24"/>
        </w:rPr>
      </w:pPr>
    </w:p>
    <w:p w:rsidR="00C91CB7" w:rsidRPr="00022F08" w:rsidRDefault="00C91CB7" w:rsidP="00C91CB7">
      <w:pPr>
        <w:autoSpaceDE w:val="0"/>
        <w:autoSpaceDN w:val="0"/>
        <w:adjustRightInd w:val="0"/>
        <w:spacing w:after="0" w:line="240" w:lineRule="auto"/>
        <w:jc w:val="right"/>
        <w:rPr>
          <w:rFonts w:cstheme="minorHAnsi"/>
          <w:i/>
          <w:sz w:val="24"/>
          <w:szCs w:val="24"/>
        </w:rPr>
      </w:pPr>
    </w:p>
    <w:p w:rsidR="00C91CB7" w:rsidRPr="00022F08" w:rsidRDefault="00C91CB7" w:rsidP="00C91CB7">
      <w:pPr>
        <w:autoSpaceDE w:val="0"/>
        <w:autoSpaceDN w:val="0"/>
        <w:adjustRightInd w:val="0"/>
        <w:spacing w:after="0" w:line="240" w:lineRule="auto"/>
        <w:jc w:val="right"/>
        <w:rPr>
          <w:rFonts w:cstheme="minorHAnsi"/>
          <w:i/>
          <w:sz w:val="24"/>
          <w:szCs w:val="24"/>
        </w:rPr>
      </w:pPr>
    </w:p>
    <w:p w:rsidR="00C91CB7" w:rsidRPr="00022F08" w:rsidRDefault="00C91CB7" w:rsidP="00C91CB7">
      <w:pPr>
        <w:autoSpaceDE w:val="0"/>
        <w:autoSpaceDN w:val="0"/>
        <w:adjustRightInd w:val="0"/>
        <w:spacing w:after="0" w:line="240" w:lineRule="auto"/>
        <w:jc w:val="right"/>
        <w:rPr>
          <w:rFonts w:cstheme="minorHAnsi"/>
          <w:i/>
          <w:sz w:val="24"/>
          <w:szCs w:val="24"/>
        </w:rPr>
      </w:pPr>
    </w:p>
    <w:p w:rsidR="00C91CB7" w:rsidRPr="00022F08" w:rsidRDefault="00C91CB7" w:rsidP="00C91CB7">
      <w:pPr>
        <w:autoSpaceDE w:val="0"/>
        <w:autoSpaceDN w:val="0"/>
        <w:adjustRightInd w:val="0"/>
        <w:spacing w:after="0" w:line="240" w:lineRule="auto"/>
        <w:jc w:val="right"/>
        <w:rPr>
          <w:rFonts w:cstheme="minorHAnsi"/>
          <w:i/>
          <w:sz w:val="24"/>
          <w:szCs w:val="24"/>
        </w:rPr>
      </w:pPr>
    </w:p>
    <w:p w:rsidR="00C91CB7" w:rsidRPr="00022F08" w:rsidRDefault="00C91CB7" w:rsidP="00C91CB7">
      <w:pPr>
        <w:autoSpaceDE w:val="0"/>
        <w:autoSpaceDN w:val="0"/>
        <w:adjustRightInd w:val="0"/>
        <w:spacing w:after="0" w:line="240" w:lineRule="auto"/>
        <w:jc w:val="right"/>
        <w:rPr>
          <w:rFonts w:cstheme="minorHAnsi"/>
          <w:i/>
          <w:sz w:val="24"/>
          <w:szCs w:val="24"/>
        </w:rPr>
      </w:pPr>
    </w:p>
    <w:p w:rsidR="00C91CB7" w:rsidRPr="00022F08" w:rsidRDefault="00C91CB7" w:rsidP="00C91CB7">
      <w:pPr>
        <w:autoSpaceDE w:val="0"/>
        <w:autoSpaceDN w:val="0"/>
        <w:adjustRightInd w:val="0"/>
        <w:spacing w:after="0" w:line="240" w:lineRule="auto"/>
        <w:jc w:val="right"/>
        <w:rPr>
          <w:rFonts w:cstheme="minorHAnsi"/>
          <w:i/>
          <w:sz w:val="24"/>
          <w:szCs w:val="24"/>
        </w:rPr>
      </w:pPr>
    </w:p>
    <w:p w:rsidR="00C91CB7" w:rsidRPr="00022F08" w:rsidRDefault="00C91CB7" w:rsidP="00C91CB7">
      <w:pPr>
        <w:autoSpaceDE w:val="0"/>
        <w:autoSpaceDN w:val="0"/>
        <w:adjustRightInd w:val="0"/>
        <w:spacing w:after="0" w:line="240" w:lineRule="auto"/>
        <w:jc w:val="right"/>
        <w:rPr>
          <w:rFonts w:ascii="Calibri" w:eastAsia="Calibri" w:hAnsi="Calibri" w:cs="Calibri"/>
          <w:i/>
          <w:sz w:val="24"/>
          <w:szCs w:val="24"/>
        </w:rPr>
      </w:pPr>
      <w:r w:rsidRPr="00022F08">
        <w:rPr>
          <w:rFonts w:ascii="Calibri" w:eastAsia="Calibri" w:hAnsi="Calibri" w:cs="Calibri"/>
          <w:i/>
          <w:sz w:val="24"/>
          <w:szCs w:val="24"/>
        </w:rPr>
        <w:t>Fait à Paris</w:t>
      </w:r>
      <w:r w:rsidR="00022F08">
        <w:rPr>
          <w:rFonts w:cstheme="minorHAnsi"/>
          <w:i/>
          <w:sz w:val="24"/>
          <w:szCs w:val="24"/>
        </w:rPr>
        <w:t xml:space="preserve"> La Défense</w:t>
      </w:r>
      <w:r w:rsidRPr="00022F08">
        <w:rPr>
          <w:rFonts w:ascii="Calibri" w:eastAsia="Calibri" w:hAnsi="Calibri" w:cs="Calibri"/>
          <w:i/>
          <w:sz w:val="24"/>
          <w:szCs w:val="24"/>
        </w:rPr>
        <w:t xml:space="preserve">, le </w:t>
      </w:r>
      <w:r w:rsidRPr="00022F08">
        <w:rPr>
          <w:rFonts w:cstheme="minorHAnsi"/>
          <w:i/>
          <w:sz w:val="24"/>
          <w:szCs w:val="24"/>
        </w:rPr>
        <w:t xml:space="preserve">9 </w:t>
      </w:r>
      <w:r w:rsidRPr="00022F08">
        <w:rPr>
          <w:rFonts w:ascii="Calibri" w:eastAsia="Calibri" w:hAnsi="Calibri" w:cs="Calibri"/>
          <w:i/>
          <w:sz w:val="24"/>
          <w:szCs w:val="24"/>
        </w:rPr>
        <w:t>septembre  2016</w:t>
      </w:r>
    </w:p>
    <w:p w:rsidR="00C91CB7" w:rsidRDefault="00C91CB7" w:rsidP="00C91CB7">
      <w:pPr>
        <w:jc w:val="center"/>
        <w:rPr>
          <w:rFonts w:ascii="Calibri" w:eastAsia="Calibri" w:hAnsi="Calibri" w:cs="Times New Roman"/>
          <w:sz w:val="48"/>
          <w:szCs w:val="48"/>
        </w:rPr>
      </w:pPr>
    </w:p>
    <w:p w:rsidR="00C91CB7" w:rsidRDefault="00C91CB7" w:rsidP="00C91CB7">
      <w:pPr>
        <w:pStyle w:val="Default"/>
        <w:jc w:val="center"/>
        <w:rPr>
          <w:rFonts w:eastAsia="Calibri"/>
        </w:rPr>
      </w:pPr>
    </w:p>
    <w:p w:rsidR="00C91CB7" w:rsidRPr="00022F08" w:rsidRDefault="00C91CB7" w:rsidP="00C91CB7">
      <w:pPr>
        <w:pStyle w:val="paragraphe"/>
        <w:tabs>
          <w:tab w:val="left" w:pos="567"/>
        </w:tabs>
        <w:rPr>
          <w:rFonts w:ascii="Calibri" w:hAnsi="Calibri" w:cs="Calibri"/>
          <w:szCs w:val="22"/>
        </w:rPr>
      </w:pPr>
      <w:r w:rsidRPr="00022F08">
        <w:rPr>
          <w:rFonts w:asciiTheme="minorHAnsi" w:hAnsiTheme="minorHAnsi" w:cstheme="minorHAnsi"/>
          <w:szCs w:val="22"/>
        </w:rPr>
        <w:lastRenderedPageBreak/>
        <w:t>Enedis</w:t>
      </w:r>
      <w:r w:rsidRPr="00022F08">
        <w:rPr>
          <w:rFonts w:ascii="Calibri" w:hAnsi="Calibri" w:cs="Calibri"/>
          <w:szCs w:val="22"/>
        </w:rPr>
        <w:t xml:space="preserve"> a pris connaissance de la consultation publique de l’Autorité de régulation des communications électroniques et des postes (ci-après « ARCEP ») « </w:t>
      </w:r>
      <w:r w:rsidRPr="00022F08">
        <w:rPr>
          <w:rFonts w:ascii="Calibri" w:hAnsi="Calibri" w:cs="Calibri"/>
          <w:i/>
          <w:iCs/>
          <w:szCs w:val="22"/>
        </w:rPr>
        <w:t>Préparer la révolution de l'internet des objets »</w:t>
      </w:r>
      <w:r w:rsidRPr="00022F08">
        <w:rPr>
          <w:rFonts w:ascii="Calibri" w:hAnsi="Calibri" w:cs="Calibri"/>
          <w:szCs w:val="22"/>
        </w:rPr>
        <w:t xml:space="preserve">. </w:t>
      </w:r>
    </w:p>
    <w:p w:rsidR="00022F08" w:rsidRPr="00022F08" w:rsidRDefault="00C91CB7" w:rsidP="00022F08">
      <w:pPr>
        <w:spacing w:before="100" w:beforeAutospacing="1" w:after="100" w:afterAutospacing="1" w:line="240" w:lineRule="auto"/>
        <w:outlineLvl w:val="1"/>
        <w:rPr>
          <w:rFonts w:eastAsia="Times New Roman" w:cstheme="minorHAnsi"/>
          <w:lang w:eastAsia="fr-FR"/>
        </w:rPr>
      </w:pPr>
      <w:r w:rsidRPr="00C91CB7">
        <w:rPr>
          <w:rFonts w:eastAsia="Times New Roman" w:cstheme="minorHAnsi"/>
          <w:bCs/>
          <w:lang w:eastAsia="fr-FR"/>
        </w:rPr>
        <w:t>Enedis</w:t>
      </w:r>
      <w:r w:rsidR="00C21B7C">
        <w:rPr>
          <w:rFonts w:eastAsia="Times New Roman" w:cstheme="minorHAnsi"/>
          <w:bCs/>
          <w:lang w:eastAsia="fr-FR"/>
        </w:rPr>
        <w:t>, filiale du groupe EDF,</w:t>
      </w:r>
      <w:r w:rsidRPr="00C91CB7">
        <w:rPr>
          <w:rFonts w:eastAsia="Times New Roman" w:cstheme="minorHAnsi"/>
          <w:bCs/>
          <w:lang w:eastAsia="fr-FR"/>
        </w:rPr>
        <w:t xml:space="preserve"> est une entreprise de service public, gestionnaire du réseau de distribution d'électricité</w:t>
      </w:r>
      <w:r w:rsidRPr="00022F08">
        <w:rPr>
          <w:rFonts w:eastAsia="Times New Roman" w:cstheme="minorHAnsi"/>
          <w:bCs/>
          <w:lang w:eastAsia="fr-FR"/>
        </w:rPr>
        <w:t xml:space="preserve"> </w:t>
      </w:r>
      <w:r w:rsidRPr="00C91CB7">
        <w:rPr>
          <w:rFonts w:eastAsia="Times New Roman" w:cstheme="minorHAnsi"/>
          <w:lang w:eastAsia="fr-FR"/>
        </w:rPr>
        <w:t>qui développe, exploite, modernise le réseau électrique et gère les données associées. Indépendante des fournisseurs d'énergie chargés de la vente et de la gestion du contrat d'électricité, Enedis réalise les raccordements, le dépannage, le relevé des compteurs et toutes interventions techniques.</w:t>
      </w:r>
    </w:p>
    <w:p w:rsidR="00644A1A" w:rsidRPr="00DA7070" w:rsidRDefault="00644A1A" w:rsidP="00022F08">
      <w:pPr>
        <w:spacing w:before="100" w:beforeAutospacing="1" w:after="100" w:afterAutospacing="1" w:line="240" w:lineRule="auto"/>
        <w:outlineLvl w:val="1"/>
        <w:rPr>
          <w:rFonts w:eastAsia="Times New Roman" w:cstheme="minorHAnsi"/>
          <w:color w:val="000000" w:themeColor="text1"/>
          <w:lang w:eastAsia="fr-FR"/>
        </w:rPr>
      </w:pPr>
      <w:r w:rsidRPr="00DA7070">
        <w:rPr>
          <w:rFonts w:cstheme="minorHAnsi"/>
          <w:color w:val="000000" w:themeColor="text1"/>
        </w:rPr>
        <w:t xml:space="preserve">Enedis est à la fois utilisateur potentiel de </w:t>
      </w:r>
      <w:r w:rsidR="00022F08" w:rsidRPr="00DA7070">
        <w:rPr>
          <w:rFonts w:cstheme="minorHAnsi"/>
          <w:color w:val="000000" w:themeColor="text1"/>
        </w:rPr>
        <w:t>l’internet des objets</w:t>
      </w:r>
      <w:r w:rsidRPr="00DA7070">
        <w:rPr>
          <w:rFonts w:cstheme="minorHAnsi"/>
          <w:color w:val="000000" w:themeColor="text1"/>
        </w:rPr>
        <w:t xml:space="preserve"> </w:t>
      </w:r>
      <w:r w:rsidR="00022F08" w:rsidRPr="00DA7070">
        <w:rPr>
          <w:rFonts w:cstheme="minorHAnsi"/>
          <w:color w:val="000000" w:themeColor="text1"/>
        </w:rPr>
        <w:t>(ci après « </w:t>
      </w:r>
      <w:proofErr w:type="spellStart"/>
      <w:r w:rsidR="00022F08" w:rsidRPr="00DA7070">
        <w:rPr>
          <w:rFonts w:cstheme="minorHAnsi"/>
          <w:color w:val="000000" w:themeColor="text1"/>
        </w:rPr>
        <w:t>IoT</w:t>
      </w:r>
      <w:proofErr w:type="spellEnd"/>
      <w:r w:rsidR="00022F08" w:rsidRPr="00DA7070">
        <w:rPr>
          <w:rFonts w:cstheme="minorHAnsi"/>
          <w:color w:val="000000" w:themeColor="text1"/>
        </w:rPr>
        <w:t xml:space="preserve"> ») </w:t>
      </w:r>
      <w:r w:rsidRPr="00DA7070">
        <w:rPr>
          <w:rFonts w:cstheme="minorHAnsi"/>
          <w:color w:val="000000" w:themeColor="text1"/>
        </w:rPr>
        <w:t>pour ses pr</w:t>
      </w:r>
      <w:r w:rsidR="00022F08" w:rsidRPr="00DA7070">
        <w:rPr>
          <w:rFonts w:cstheme="minorHAnsi"/>
          <w:color w:val="000000" w:themeColor="text1"/>
        </w:rPr>
        <w:t>opres besoins et fournisseur d</w:t>
      </w:r>
      <w:r w:rsidRPr="00DA7070">
        <w:rPr>
          <w:rFonts w:cstheme="minorHAnsi"/>
          <w:color w:val="000000" w:themeColor="text1"/>
        </w:rPr>
        <w:t>’infrastructure pour permettre le déploiement des objets communicants et de la chaine de communication</w:t>
      </w:r>
      <w:r w:rsidR="00022F08" w:rsidRPr="00DA7070">
        <w:rPr>
          <w:rFonts w:cstheme="minorHAnsi"/>
          <w:color w:val="000000" w:themeColor="text1"/>
        </w:rPr>
        <w:t xml:space="preserve"> associée</w:t>
      </w:r>
      <w:r w:rsidR="00D95DFB">
        <w:rPr>
          <w:rFonts w:cstheme="minorHAnsi"/>
          <w:color w:val="000000" w:themeColor="text1"/>
        </w:rPr>
        <w:t> :</w:t>
      </w:r>
    </w:p>
    <w:p w:rsidR="00644A1A" w:rsidRPr="00DA7070" w:rsidRDefault="00644A1A" w:rsidP="00644A1A">
      <w:pPr>
        <w:pStyle w:val="Paragraphedeliste"/>
        <w:numPr>
          <w:ilvl w:val="0"/>
          <w:numId w:val="1"/>
        </w:numPr>
        <w:jc w:val="both"/>
        <w:rPr>
          <w:rFonts w:cstheme="minorHAnsi"/>
          <w:color w:val="000000" w:themeColor="text1"/>
        </w:rPr>
      </w:pPr>
      <w:r w:rsidRPr="00DA7070">
        <w:rPr>
          <w:rFonts w:cstheme="minorHAnsi"/>
          <w:color w:val="000000" w:themeColor="text1"/>
        </w:rPr>
        <w:t>Enedis utilisateur de l’</w:t>
      </w:r>
      <w:proofErr w:type="spellStart"/>
      <w:r w:rsidRPr="00DA7070">
        <w:rPr>
          <w:rFonts w:cstheme="minorHAnsi"/>
          <w:color w:val="000000" w:themeColor="text1"/>
        </w:rPr>
        <w:t>IoT</w:t>
      </w:r>
      <w:proofErr w:type="spellEnd"/>
      <w:r w:rsidRPr="00DA7070">
        <w:rPr>
          <w:rFonts w:cstheme="minorHAnsi"/>
          <w:color w:val="000000" w:themeColor="text1"/>
        </w:rPr>
        <w:t xml:space="preserve"> : </w:t>
      </w:r>
    </w:p>
    <w:p w:rsidR="00644A1A" w:rsidRPr="00DA7070" w:rsidRDefault="00644A1A" w:rsidP="00022F08">
      <w:pPr>
        <w:pStyle w:val="paragraphe"/>
        <w:numPr>
          <w:ilvl w:val="0"/>
          <w:numId w:val="4"/>
        </w:numPr>
        <w:tabs>
          <w:tab w:val="left" w:pos="567"/>
        </w:tabs>
        <w:spacing w:before="0"/>
        <w:rPr>
          <w:rFonts w:asciiTheme="minorHAnsi" w:hAnsiTheme="minorHAnsi" w:cstheme="minorHAnsi"/>
          <w:color w:val="000000" w:themeColor="text1"/>
          <w:szCs w:val="22"/>
        </w:rPr>
      </w:pPr>
      <w:r w:rsidRPr="00DA7070">
        <w:rPr>
          <w:rFonts w:ascii="Calibri" w:hAnsi="Calibri" w:cs="Calibri"/>
          <w:color w:val="000000" w:themeColor="text1"/>
          <w:szCs w:val="22"/>
        </w:rPr>
        <w:t xml:space="preserve">Usages critiques pour le bon fonctionnement, la sûreté et la sécurité </w:t>
      </w:r>
      <w:r w:rsidRPr="00DA7070">
        <w:rPr>
          <w:rFonts w:asciiTheme="minorHAnsi" w:hAnsiTheme="minorHAnsi" w:cstheme="minorHAnsi"/>
          <w:color w:val="000000" w:themeColor="text1"/>
          <w:szCs w:val="22"/>
        </w:rPr>
        <w:t>du réseau électrique</w:t>
      </w:r>
      <w:r w:rsidR="00022F08" w:rsidRPr="00DA7070">
        <w:rPr>
          <w:rFonts w:asciiTheme="minorHAnsi" w:hAnsiTheme="minorHAnsi" w:cstheme="minorHAnsi"/>
          <w:color w:val="000000" w:themeColor="text1"/>
          <w:szCs w:val="22"/>
        </w:rPr>
        <w:t xml:space="preserve"> </w:t>
      </w:r>
      <w:r w:rsidR="00DA7070">
        <w:rPr>
          <w:rFonts w:asciiTheme="minorHAnsi" w:hAnsiTheme="minorHAnsi" w:cstheme="minorHAnsi"/>
          <w:color w:val="000000" w:themeColor="text1"/>
          <w:szCs w:val="22"/>
        </w:rPr>
        <w:t>basse tension (</w:t>
      </w:r>
      <w:r w:rsidR="00022F08" w:rsidRPr="00DA7070">
        <w:rPr>
          <w:rFonts w:asciiTheme="minorHAnsi" w:hAnsiTheme="minorHAnsi" w:cstheme="minorHAnsi"/>
          <w:color w:val="000000" w:themeColor="text1"/>
          <w:szCs w:val="22"/>
        </w:rPr>
        <w:t>BT</w:t>
      </w:r>
      <w:r w:rsidR="00DA7070">
        <w:rPr>
          <w:rFonts w:asciiTheme="minorHAnsi" w:hAnsiTheme="minorHAnsi" w:cstheme="minorHAnsi"/>
          <w:color w:val="000000" w:themeColor="text1"/>
          <w:szCs w:val="22"/>
        </w:rPr>
        <w:t>)</w:t>
      </w:r>
      <w:r w:rsidR="00022F08" w:rsidRPr="00DA7070">
        <w:rPr>
          <w:rFonts w:asciiTheme="minorHAnsi" w:hAnsiTheme="minorHAnsi" w:cstheme="minorHAnsi"/>
          <w:color w:val="000000" w:themeColor="text1"/>
          <w:szCs w:val="22"/>
        </w:rPr>
        <w:t xml:space="preserve"> et </w:t>
      </w:r>
      <w:r w:rsidR="00DA7070">
        <w:rPr>
          <w:rFonts w:asciiTheme="minorHAnsi" w:hAnsiTheme="minorHAnsi" w:cstheme="minorHAnsi"/>
          <w:color w:val="000000" w:themeColor="text1"/>
          <w:szCs w:val="22"/>
        </w:rPr>
        <w:t>moyenne tension (</w:t>
      </w:r>
      <w:r w:rsidR="00022F08" w:rsidRPr="00DA7070">
        <w:rPr>
          <w:rFonts w:asciiTheme="minorHAnsi" w:hAnsiTheme="minorHAnsi" w:cstheme="minorHAnsi"/>
          <w:color w:val="000000" w:themeColor="text1"/>
          <w:szCs w:val="22"/>
        </w:rPr>
        <w:t>HTA</w:t>
      </w:r>
      <w:r w:rsidR="00DA7070">
        <w:rPr>
          <w:rFonts w:asciiTheme="minorHAnsi" w:hAnsiTheme="minorHAnsi" w:cstheme="minorHAnsi"/>
          <w:color w:val="000000" w:themeColor="text1"/>
          <w:szCs w:val="22"/>
        </w:rPr>
        <w:t>)</w:t>
      </w:r>
      <w:r w:rsidRPr="00DA7070">
        <w:rPr>
          <w:rFonts w:asciiTheme="minorHAnsi" w:hAnsiTheme="minorHAnsi" w:cstheme="minorHAnsi"/>
          <w:color w:val="000000" w:themeColor="text1"/>
          <w:szCs w:val="22"/>
        </w:rPr>
        <w:t xml:space="preserve"> et </w:t>
      </w:r>
      <w:r w:rsidRPr="00DA7070">
        <w:rPr>
          <w:rFonts w:ascii="Calibri" w:hAnsi="Calibri" w:cs="Calibri"/>
          <w:color w:val="000000" w:themeColor="text1"/>
          <w:szCs w:val="22"/>
        </w:rPr>
        <w:t>des installations industrielles</w:t>
      </w:r>
      <w:r w:rsidRPr="00DA7070">
        <w:rPr>
          <w:rFonts w:asciiTheme="minorHAnsi" w:hAnsiTheme="minorHAnsi" w:cstheme="minorHAnsi"/>
          <w:color w:val="000000" w:themeColor="text1"/>
          <w:szCs w:val="22"/>
        </w:rPr>
        <w:t xml:space="preserve"> (postes HTA/BT, poste source)</w:t>
      </w:r>
      <w:r w:rsidR="00022F08" w:rsidRPr="00DA7070">
        <w:rPr>
          <w:rFonts w:asciiTheme="minorHAnsi" w:hAnsiTheme="minorHAnsi" w:cstheme="minorHAnsi"/>
          <w:color w:val="000000" w:themeColor="text1"/>
          <w:szCs w:val="22"/>
        </w:rPr>
        <w:t>,</w:t>
      </w:r>
    </w:p>
    <w:p w:rsidR="00644A1A" w:rsidRPr="00DA7070" w:rsidRDefault="00644A1A" w:rsidP="00022F08">
      <w:pPr>
        <w:pStyle w:val="paragraphe"/>
        <w:numPr>
          <w:ilvl w:val="0"/>
          <w:numId w:val="4"/>
        </w:numPr>
        <w:tabs>
          <w:tab w:val="left" w:pos="567"/>
        </w:tabs>
        <w:spacing w:before="0"/>
        <w:rPr>
          <w:rFonts w:ascii="Calibri" w:hAnsi="Calibri" w:cs="Calibri"/>
          <w:color w:val="000000" w:themeColor="text1"/>
          <w:szCs w:val="22"/>
        </w:rPr>
      </w:pPr>
      <w:r w:rsidRPr="00DA7070">
        <w:rPr>
          <w:rFonts w:ascii="Calibri" w:hAnsi="Calibri" w:cs="Calibri"/>
          <w:color w:val="000000" w:themeColor="text1"/>
          <w:szCs w:val="22"/>
        </w:rPr>
        <w:t>Usages régulés (</w:t>
      </w:r>
      <w:r w:rsidR="00DA7070">
        <w:rPr>
          <w:rFonts w:ascii="Calibri" w:hAnsi="Calibri" w:cs="Calibri"/>
          <w:color w:val="000000" w:themeColor="text1"/>
          <w:szCs w:val="22"/>
        </w:rPr>
        <w:t>« </w:t>
      </w:r>
      <w:r w:rsidRPr="00DA7070">
        <w:rPr>
          <w:rFonts w:ascii="Calibri" w:hAnsi="Calibri" w:cs="Calibri"/>
          <w:color w:val="000000" w:themeColor="text1"/>
          <w:szCs w:val="22"/>
        </w:rPr>
        <w:t xml:space="preserve">smart </w:t>
      </w:r>
      <w:proofErr w:type="spellStart"/>
      <w:r w:rsidRPr="00DA7070">
        <w:rPr>
          <w:rFonts w:ascii="Calibri" w:hAnsi="Calibri" w:cs="Calibri"/>
          <w:color w:val="000000" w:themeColor="text1"/>
          <w:szCs w:val="22"/>
        </w:rPr>
        <w:t>metering</w:t>
      </w:r>
      <w:proofErr w:type="spellEnd"/>
      <w:r w:rsidR="00DA7070">
        <w:rPr>
          <w:rFonts w:ascii="Calibri" w:hAnsi="Calibri" w:cs="Calibri"/>
          <w:color w:val="000000" w:themeColor="text1"/>
          <w:szCs w:val="22"/>
        </w:rPr>
        <w:t> »</w:t>
      </w:r>
      <w:r w:rsidRPr="00DA7070">
        <w:rPr>
          <w:rFonts w:ascii="Calibri" w:hAnsi="Calibri" w:cs="Calibri"/>
          <w:color w:val="000000" w:themeColor="text1"/>
          <w:szCs w:val="22"/>
        </w:rPr>
        <w:t>),</w:t>
      </w:r>
    </w:p>
    <w:p w:rsidR="00644A1A" w:rsidRPr="00DA7070" w:rsidRDefault="00644A1A" w:rsidP="00644A1A">
      <w:pPr>
        <w:pStyle w:val="Paragraphedeliste"/>
        <w:jc w:val="both"/>
        <w:rPr>
          <w:rFonts w:cstheme="minorHAnsi"/>
          <w:color w:val="000000" w:themeColor="text1"/>
        </w:rPr>
      </w:pPr>
    </w:p>
    <w:p w:rsidR="00644A1A" w:rsidRPr="00DA7070" w:rsidRDefault="00644A1A" w:rsidP="00644A1A">
      <w:pPr>
        <w:pStyle w:val="Paragraphedeliste"/>
        <w:numPr>
          <w:ilvl w:val="0"/>
          <w:numId w:val="1"/>
        </w:numPr>
        <w:jc w:val="both"/>
        <w:rPr>
          <w:rFonts w:cstheme="minorHAnsi"/>
          <w:color w:val="000000" w:themeColor="text1"/>
        </w:rPr>
      </w:pPr>
      <w:r w:rsidRPr="00DA7070">
        <w:rPr>
          <w:rFonts w:cstheme="minorHAnsi"/>
          <w:color w:val="000000" w:themeColor="text1"/>
        </w:rPr>
        <w:t xml:space="preserve">Enedis fournisseur </w:t>
      </w:r>
      <w:r w:rsidR="00022F08" w:rsidRPr="00DA7070">
        <w:rPr>
          <w:rFonts w:cstheme="minorHAnsi"/>
          <w:color w:val="000000" w:themeColor="text1"/>
        </w:rPr>
        <w:t xml:space="preserve">potentiel </w:t>
      </w:r>
      <w:r w:rsidRPr="00DA7070">
        <w:rPr>
          <w:rFonts w:cstheme="minorHAnsi"/>
          <w:color w:val="000000" w:themeColor="text1"/>
        </w:rPr>
        <w:t>d’infrastructure</w:t>
      </w:r>
      <w:r w:rsidR="00022F08" w:rsidRPr="00DA7070">
        <w:rPr>
          <w:rFonts w:cstheme="minorHAnsi"/>
          <w:color w:val="000000" w:themeColor="text1"/>
        </w:rPr>
        <w:t xml:space="preserve"> pour l’</w:t>
      </w:r>
      <w:proofErr w:type="spellStart"/>
      <w:r w:rsidR="00022F08" w:rsidRPr="00DA7070">
        <w:rPr>
          <w:rFonts w:cstheme="minorHAnsi"/>
          <w:color w:val="000000" w:themeColor="text1"/>
        </w:rPr>
        <w:t>IoT</w:t>
      </w:r>
      <w:proofErr w:type="spellEnd"/>
      <w:r w:rsidRPr="00DA7070">
        <w:rPr>
          <w:rFonts w:cstheme="minorHAnsi"/>
          <w:color w:val="000000" w:themeColor="text1"/>
        </w:rPr>
        <w:t xml:space="preserve"> : </w:t>
      </w:r>
    </w:p>
    <w:p w:rsidR="00644A1A" w:rsidRPr="00DA7070" w:rsidRDefault="00644A1A" w:rsidP="00644A1A">
      <w:pPr>
        <w:pStyle w:val="Paragraphedeliste"/>
        <w:numPr>
          <w:ilvl w:val="1"/>
          <w:numId w:val="1"/>
        </w:numPr>
        <w:jc w:val="both"/>
        <w:rPr>
          <w:rFonts w:cstheme="minorHAnsi"/>
          <w:color w:val="000000" w:themeColor="text1"/>
        </w:rPr>
      </w:pPr>
      <w:r w:rsidRPr="00DA7070">
        <w:rPr>
          <w:rFonts w:cstheme="minorHAnsi"/>
          <w:color w:val="000000" w:themeColor="text1"/>
        </w:rPr>
        <w:t>Enedis propose aux opérateurs et collectivités locales l’utilisation des appuis aériens pour l’installation d’objets communicants</w:t>
      </w:r>
      <w:r w:rsidR="00022F08" w:rsidRPr="00DA7070">
        <w:rPr>
          <w:rFonts w:cstheme="minorHAnsi"/>
          <w:color w:val="000000" w:themeColor="text1"/>
        </w:rPr>
        <w:t>,</w:t>
      </w:r>
    </w:p>
    <w:p w:rsidR="00644A1A" w:rsidRPr="00DA7070" w:rsidRDefault="00022F08" w:rsidP="00644A1A">
      <w:pPr>
        <w:pStyle w:val="Paragraphedeliste"/>
        <w:numPr>
          <w:ilvl w:val="1"/>
          <w:numId w:val="1"/>
        </w:numPr>
        <w:jc w:val="both"/>
        <w:rPr>
          <w:rFonts w:cstheme="minorHAnsi"/>
          <w:color w:val="000000" w:themeColor="text1"/>
        </w:rPr>
      </w:pPr>
      <w:r w:rsidRPr="00DA7070">
        <w:rPr>
          <w:rFonts w:cstheme="minorHAnsi"/>
          <w:color w:val="000000" w:themeColor="text1"/>
        </w:rPr>
        <w:t>Enedis a fait le choix de la technologie</w:t>
      </w:r>
      <w:r w:rsidR="00644A1A" w:rsidRPr="00DA7070">
        <w:rPr>
          <w:rFonts w:cstheme="minorHAnsi"/>
          <w:color w:val="000000" w:themeColor="text1"/>
        </w:rPr>
        <w:t xml:space="preserve"> CPL G3 </w:t>
      </w:r>
      <w:r w:rsidRPr="00DA7070">
        <w:rPr>
          <w:rFonts w:cstheme="minorHAnsi"/>
          <w:color w:val="000000" w:themeColor="text1"/>
        </w:rPr>
        <w:t xml:space="preserve">dans la chaine de communication </w:t>
      </w:r>
      <w:r w:rsidR="00644A1A" w:rsidRPr="00DA7070">
        <w:rPr>
          <w:rFonts w:cstheme="minorHAnsi"/>
          <w:color w:val="000000" w:themeColor="text1"/>
        </w:rPr>
        <w:t xml:space="preserve">pour le comptage. </w:t>
      </w:r>
    </w:p>
    <w:p w:rsidR="00C91CB7" w:rsidRPr="00DA7070" w:rsidRDefault="00C91CB7" w:rsidP="00022F08">
      <w:pPr>
        <w:spacing w:before="100" w:beforeAutospacing="1" w:after="100" w:afterAutospacing="1" w:line="240" w:lineRule="auto"/>
        <w:outlineLvl w:val="1"/>
        <w:rPr>
          <w:rFonts w:ascii="Calibri" w:eastAsia="Calibri" w:hAnsi="Calibri" w:cs="Calibri"/>
          <w:color w:val="000000" w:themeColor="text1"/>
        </w:rPr>
      </w:pPr>
      <w:r w:rsidRPr="00DA7070">
        <w:rPr>
          <w:rFonts w:ascii="Calibri" w:eastAsia="Calibri" w:hAnsi="Calibri" w:cs="Calibri"/>
          <w:color w:val="000000" w:themeColor="text1"/>
        </w:rPr>
        <w:t xml:space="preserve">Dans la suite du document, les questions de la consultation sont reprises, les positions développées dans les réponses ne concernent </w:t>
      </w:r>
      <w:r w:rsidR="00644A1A" w:rsidRPr="00DA7070">
        <w:rPr>
          <w:rFonts w:cstheme="minorHAnsi"/>
          <w:color w:val="000000" w:themeColor="text1"/>
        </w:rPr>
        <w:t>qu’Enedis.</w:t>
      </w:r>
    </w:p>
    <w:p w:rsidR="00C91CB7" w:rsidRDefault="00C91CB7">
      <w:pPr>
        <w:rPr>
          <w:color w:val="000000" w:themeColor="text1"/>
        </w:rPr>
      </w:pPr>
    </w:p>
    <w:p w:rsidR="00022F08" w:rsidRDefault="00022F08">
      <w:pPr>
        <w:rPr>
          <w:rFonts w:ascii="Calibri" w:hAnsi="Calibri" w:cs="Calibri"/>
          <w:b/>
          <w:bCs/>
          <w:color w:val="000000"/>
          <w:sz w:val="28"/>
          <w:szCs w:val="28"/>
        </w:rPr>
      </w:pPr>
      <w:r>
        <w:rPr>
          <w:b/>
          <w:bCs/>
          <w:sz w:val="28"/>
          <w:szCs w:val="28"/>
        </w:rPr>
        <w:br w:type="page"/>
      </w:r>
    </w:p>
    <w:p w:rsidR="00C91CB7" w:rsidRPr="00022F08" w:rsidRDefault="00C91CB7" w:rsidP="00C91CB7">
      <w:pPr>
        <w:pStyle w:val="Default"/>
        <w:rPr>
          <w:rFonts w:eastAsia="Calibri"/>
          <w:b/>
          <w:bCs/>
          <w:szCs w:val="28"/>
        </w:rPr>
      </w:pPr>
      <w:r w:rsidRPr="00022F08">
        <w:rPr>
          <w:rFonts w:eastAsia="Calibri"/>
          <w:b/>
          <w:bCs/>
          <w:szCs w:val="28"/>
        </w:rPr>
        <w:lastRenderedPageBreak/>
        <w:t>Réponses aux questions :</w:t>
      </w:r>
    </w:p>
    <w:p w:rsidR="00130B00" w:rsidRPr="00E27899" w:rsidRDefault="00130B00" w:rsidP="00E27899">
      <w:pPr>
        <w:pStyle w:val="Default"/>
        <w:jc w:val="both"/>
        <w:rPr>
          <w:color w:val="000000" w:themeColor="text1"/>
          <w:sz w:val="28"/>
          <w:szCs w:val="28"/>
        </w:rPr>
      </w:pPr>
    </w:p>
    <w:p w:rsidR="00481C27" w:rsidRPr="004B1895" w:rsidRDefault="00481C27" w:rsidP="00E27899">
      <w:pPr>
        <w:pStyle w:val="Default"/>
        <w:jc w:val="both"/>
        <w:rPr>
          <w:i/>
          <w:color w:val="000000" w:themeColor="text1"/>
          <w:sz w:val="22"/>
          <w:szCs w:val="22"/>
        </w:rPr>
      </w:pPr>
      <w:r w:rsidRPr="00E27899">
        <w:rPr>
          <w:i/>
          <w:color w:val="000000" w:themeColor="text1"/>
          <w:sz w:val="22"/>
          <w:szCs w:val="22"/>
        </w:rPr>
        <w:t xml:space="preserve">Question n° 1 : Pensez-vous que la mise en place d’un cadre expérimental relatif à des services de communications électroniques soit de nature à favoriser l’innovation ? Avez-vous des propositions sur </w:t>
      </w:r>
      <w:r w:rsidRPr="004B1895">
        <w:rPr>
          <w:i/>
          <w:color w:val="000000" w:themeColor="text1"/>
          <w:sz w:val="22"/>
          <w:szCs w:val="22"/>
        </w:rPr>
        <w:t xml:space="preserve">la manière de la mettre en oeuvre, en particulier en matière d’internet des objets ? </w:t>
      </w:r>
    </w:p>
    <w:p w:rsidR="00481C27" w:rsidRPr="004B1895" w:rsidRDefault="00481C27" w:rsidP="00E27899">
      <w:pPr>
        <w:pStyle w:val="Default"/>
        <w:jc w:val="both"/>
        <w:rPr>
          <w:color w:val="000000" w:themeColor="text1"/>
          <w:sz w:val="22"/>
          <w:szCs w:val="22"/>
        </w:rPr>
      </w:pPr>
    </w:p>
    <w:p w:rsidR="004B1895" w:rsidRPr="00265B20" w:rsidRDefault="00904C92" w:rsidP="004B1895">
      <w:pPr>
        <w:pStyle w:val="Default"/>
        <w:ind w:firstLine="708"/>
        <w:jc w:val="both"/>
        <w:rPr>
          <w:rFonts w:asciiTheme="minorHAnsi" w:hAnsiTheme="minorHAnsi" w:cstheme="minorHAnsi"/>
          <w:color w:val="000000" w:themeColor="text1"/>
          <w:sz w:val="22"/>
          <w:szCs w:val="22"/>
        </w:rPr>
      </w:pPr>
      <w:r w:rsidRPr="00265B20">
        <w:rPr>
          <w:color w:val="000000" w:themeColor="text1"/>
          <w:sz w:val="22"/>
          <w:szCs w:val="22"/>
        </w:rPr>
        <w:t xml:space="preserve">On assiste sur le marché de l’IoT à un foisonnement d’offres proposant des modèles d’affaires et de technologies très variés. Il existe une incertitude sur la pérennité de certains modèles, </w:t>
      </w:r>
      <w:r w:rsidRPr="00265B20">
        <w:rPr>
          <w:rFonts w:asciiTheme="minorHAnsi" w:hAnsiTheme="minorHAnsi" w:cstheme="minorHAnsi"/>
          <w:color w:val="000000" w:themeColor="text1"/>
          <w:sz w:val="22"/>
          <w:szCs w:val="22"/>
        </w:rPr>
        <w:t xml:space="preserve">qui peut freiner l’adoption de l’IoT. </w:t>
      </w:r>
    </w:p>
    <w:p w:rsidR="00265B20" w:rsidRPr="00265B20" w:rsidRDefault="00265B20" w:rsidP="00265B20">
      <w:pPr>
        <w:pStyle w:val="Default"/>
        <w:ind w:firstLine="708"/>
        <w:rPr>
          <w:rFonts w:cs="Times New Roman"/>
          <w:color w:val="000000" w:themeColor="text1"/>
          <w:sz w:val="22"/>
          <w:szCs w:val="22"/>
        </w:rPr>
      </w:pPr>
      <w:r w:rsidRPr="00265B20">
        <w:rPr>
          <w:rFonts w:cs="Times New Roman"/>
          <w:color w:val="000000" w:themeColor="text1"/>
          <w:sz w:val="22"/>
          <w:szCs w:val="22"/>
        </w:rPr>
        <w:t xml:space="preserve">Dans le domaine de l’innovation, </w:t>
      </w:r>
      <w:r>
        <w:rPr>
          <w:rFonts w:cs="Times New Roman"/>
          <w:color w:val="000000" w:themeColor="text1"/>
          <w:sz w:val="22"/>
          <w:szCs w:val="22"/>
        </w:rPr>
        <w:t>afin que</w:t>
      </w:r>
      <w:r w:rsidRPr="00265B20">
        <w:rPr>
          <w:rFonts w:cs="Times New Roman"/>
          <w:color w:val="000000" w:themeColor="text1"/>
          <w:sz w:val="22"/>
          <w:szCs w:val="22"/>
        </w:rPr>
        <w:t xml:space="preserve"> l’offre et la demande puissent se rencontrer, il </w:t>
      </w:r>
      <w:r>
        <w:rPr>
          <w:rFonts w:cs="Times New Roman"/>
          <w:color w:val="000000" w:themeColor="text1"/>
          <w:sz w:val="22"/>
          <w:szCs w:val="22"/>
        </w:rPr>
        <w:t>semble utile</w:t>
      </w:r>
      <w:r w:rsidRPr="00265B20">
        <w:rPr>
          <w:rFonts w:cs="Times New Roman"/>
          <w:color w:val="000000" w:themeColor="text1"/>
          <w:sz w:val="22"/>
          <w:szCs w:val="22"/>
        </w:rPr>
        <w:t xml:space="preserve"> d’assouplir la réglementation (autorisations d’expérimentation dans des fréquences bac à sable ou avec un cahier des charges</w:t>
      </w:r>
      <w:r>
        <w:rPr>
          <w:rFonts w:cs="Times New Roman"/>
          <w:color w:val="000000" w:themeColor="text1"/>
          <w:sz w:val="22"/>
          <w:szCs w:val="22"/>
        </w:rPr>
        <w:t xml:space="preserve"> potentiellement</w:t>
      </w:r>
      <w:r w:rsidRPr="00265B20">
        <w:rPr>
          <w:rFonts w:cs="Times New Roman"/>
          <w:color w:val="000000" w:themeColor="text1"/>
          <w:sz w:val="22"/>
          <w:szCs w:val="22"/>
        </w:rPr>
        <w:t xml:space="preserve"> allégé).</w:t>
      </w:r>
    </w:p>
    <w:p w:rsidR="00A73284" w:rsidRDefault="00A73284" w:rsidP="00E27899">
      <w:pPr>
        <w:pStyle w:val="Default"/>
        <w:jc w:val="both"/>
        <w:rPr>
          <w:color w:val="000000" w:themeColor="text1"/>
          <w:sz w:val="22"/>
          <w:szCs w:val="22"/>
        </w:rPr>
      </w:pPr>
    </w:p>
    <w:p w:rsidR="0095120F" w:rsidRPr="00E27899" w:rsidRDefault="0095120F" w:rsidP="00E27899">
      <w:pPr>
        <w:pStyle w:val="Default"/>
        <w:jc w:val="both"/>
        <w:rPr>
          <w:color w:val="000000" w:themeColor="text1"/>
          <w:sz w:val="22"/>
          <w:szCs w:val="22"/>
        </w:rPr>
      </w:pPr>
    </w:p>
    <w:p w:rsidR="00481C27" w:rsidRPr="00E27899" w:rsidRDefault="00481C27" w:rsidP="00E27899">
      <w:pPr>
        <w:pStyle w:val="Default"/>
        <w:jc w:val="both"/>
        <w:rPr>
          <w:i/>
          <w:color w:val="000000" w:themeColor="text1"/>
          <w:sz w:val="22"/>
          <w:szCs w:val="22"/>
        </w:rPr>
      </w:pPr>
      <w:r w:rsidRPr="00E27899">
        <w:rPr>
          <w:i/>
          <w:color w:val="000000" w:themeColor="text1"/>
          <w:sz w:val="22"/>
          <w:szCs w:val="22"/>
        </w:rPr>
        <w:t xml:space="preserve">Question n° 2 : Considérez-vous que l’Arcep devrait avoir une implication plus importante dans les instances de normalisation </w:t>
      </w:r>
      <w:r w:rsidR="00E92B1D" w:rsidRPr="00E27899">
        <w:rPr>
          <w:i/>
          <w:color w:val="000000" w:themeColor="text1"/>
          <w:sz w:val="22"/>
          <w:szCs w:val="22"/>
        </w:rPr>
        <w:t>internationale</w:t>
      </w:r>
      <w:r w:rsidRPr="00E27899">
        <w:rPr>
          <w:i/>
          <w:color w:val="000000" w:themeColor="text1"/>
          <w:sz w:val="22"/>
          <w:szCs w:val="22"/>
        </w:rPr>
        <w:t xml:space="preserve"> ? De quelle manière ? </w:t>
      </w:r>
    </w:p>
    <w:p w:rsidR="00A73284" w:rsidRPr="00E27899" w:rsidRDefault="00A73284" w:rsidP="00E27899">
      <w:pPr>
        <w:pStyle w:val="Default"/>
        <w:jc w:val="both"/>
        <w:rPr>
          <w:color w:val="000000" w:themeColor="text1"/>
          <w:sz w:val="22"/>
          <w:szCs w:val="22"/>
        </w:rPr>
      </w:pPr>
    </w:p>
    <w:p w:rsidR="00387AB0" w:rsidRPr="00387AB0" w:rsidRDefault="00387AB0" w:rsidP="00387AB0">
      <w:pPr>
        <w:ind w:firstLine="708"/>
        <w:rPr>
          <w:color w:val="000000" w:themeColor="text1"/>
        </w:rPr>
      </w:pPr>
      <w:r w:rsidRPr="00387AB0">
        <w:rPr>
          <w:color w:val="000000" w:themeColor="text1"/>
        </w:rPr>
        <w:t>Enedis souhaite que l’ARCEP puisse se positionner afin de favoriser l’interopérabilité des objets vis-à-vis des réseaux et des plateformes.</w:t>
      </w:r>
    </w:p>
    <w:p w:rsidR="00DF3F01" w:rsidRPr="00AB7EEA" w:rsidRDefault="00265B20" w:rsidP="00DF3F01">
      <w:pPr>
        <w:pStyle w:val="Default"/>
        <w:ind w:firstLine="708"/>
        <w:jc w:val="both"/>
        <w:rPr>
          <w:color w:val="000000" w:themeColor="text1"/>
          <w:sz w:val="22"/>
          <w:szCs w:val="22"/>
        </w:rPr>
      </w:pPr>
      <w:r>
        <w:rPr>
          <w:color w:val="000000" w:themeColor="text1"/>
          <w:sz w:val="22"/>
          <w:szCs w:val="22"/>
        </w:rPr>
        <w:t>Cependant l</w:t>
      </w:r>
      <w:r w:rsidR="00DF3F01" w:rsidRPr="00AB7EEA">
        <w:rPr>
          <w:color w:val="000000" w:themeColor="text1"/>
          <w:sz w:val="22"/>
          <w:szCs w:val="22"/>
        </w:rPr>
        <w:t xml:space="preserve">es alliances industrielles (sur le CPL G3 par exemple) portent déjà les évolutions protocolaires au niveau des instances européennes et mondiales. </w:t>
      </w:r>
    </w:p>
    <w:p w:rsidR="00DF3F01" w:rsidRPr="00AB7EEA" w:rsidRDefault="00DF3F01" w:rsidP="00AB7EEA">
      <w:pPr>
        <w:pStyle w:val="Default"/>
        <w:ind w:firstLine="708"/>
        <w:jc w:val="both"/>
        <w:rPr>
          <w:color w:val="000000" w:themeColor="text1"/>
          <w:sz w:val="22"/>
          <w:szCs w:val="22"/>
        </w:rPr>
      </w:pPr>
    </w:p>
    <w:p w:rsidR="00585E77" w:rsidRPr="00E27899" w:rsidRDefault="00585E77" w:rsidP="00E27899">
      <w:pPr>
        <w:pStyle w:val="Default"/>
        <w:jc w:val="both"/>
        <w:rPr>
          <w:color w:val="000000" w:themeColor="text1"/>
          <w:sz w:val="22"/>
          <w:szCs w:val="22"/>
        </w:rPr>
      </w:pPr>
    </w:p>
    <w:p w:rsidR="00481C27" w:rsidRPr="00E27899" w:rsidRDefault="00481C27" w:rsidP="00E27899">
      <w:pPr>
        <w:pStyle w:val="Default"/>
        <w:jc w:val="both"/>
        <w:rPr>
          <w:i/>
          <w:color w:val="000000" w:themeColor="text1"/>
          <w:sz w:val="22"/>
          <w:szCs w:val="22"/>
        </w:rPr>
      </w:pPr>
      <w:r w:rsidRPr="00E27899">
        <w:rPr>
          <w:i/>
          <w:color w:val="000000" w:themeColor="text1"/>
          <w:sz w:val="22"/>
          <w:szCs w:val="22"/>
        </w:rPr>
        <w:t xml:space="preserve">Question n° 3 : Sous quelles conditions la réutilisation ou le partage d’infrastructures, passives ou actives permet-elle, selon vous, de favoriser le déploiement de réseaux adaptés aux besoins de l’internet des objets ? </w:t>
      </w:r>
    </w:p>
    <w:p w:rsidR="00E92B1D" w:rsidRPr="00E27899" w:rsidRDefault="00E92B1D" w:rsidP="00E27899">
      <w:pPr>
        <w:pStyle w:val="Default"/>
        <w:jc w:val="both"/>
        <w:rPr>
          <w:color w:val="000000" w:themeColor="text1"/>
          <w:sz w:val="22"/>
          <w:szCs w:val="22"/>
        </w:rPr>
      </w:pPr>
    </w:p>
    <w:p w:rsidR="00AB7EEA" w:rsidRPr="00AB7EEA" w:rsidRDefault="00AB7EEA" w:rsidP="00AB7EEA">
      <w:pPr>
        <w:ind w:firstLine="708"/>
        <w:rPr>
          <w:color w:val="000000" w:themeColor="text1"/>
        </w:rPr>
      </w:pPr>
      <w:r w:rsidRPr="00AB7EEA">
        <w:rPr>
          <w:color w:val="000000" w:themeColor="text1"/>
        </w:rPr>
        <w:t>Dans les zones économiquement non rentables (zones peu denses en population) la mutualisation du génie civil et des infrastructures passives voire actives permet d’éviter le déploiement d’infrastructures inutilement redondantes et de reporter les CAPEX afférents vers le développement de nouveaux services. De surcroit, cela permet de déployer plus vite donc de réduire plus rapidement la fracture numérique.</w:t>
      </w:r>
    </w:p>
    <w:p w:rsidR="00E92B1D" w:rsidRPr="00E27899" w:rsidRDefault="00E92B1D" w:rsidP="00E27899">
      <w:pPr>
        <w:pStyle w:val="Default"/>
        <w:ind w:firstLine="708"/>
        <w:jc w:val="both"/>
        <w:rPr>
          <w:color w:val="000000" w:themeColor="text1"/>
          <w:sz w:val="22"/>
          <w:szCs w:val="22"/>
        </w:rPr>
      </w:pPr>
      <w:r w:rsidRPr="00E27899">
        <w:rPr>
          <w:color w:val="000000" w:themeColor="text1"/>
          <w:sz w:val="22"/>
          <w:szCs w:val="22"/>
        </w:rPr>
        <w:t>Enedis propose de valoriser ses infrastruct</w:t>
      </w:r>
      <w:r w:rsidR="00265B20">
        <w:rPr>
          <w:color w:val="000000" w:themeColor="text1"/>
          <w:sz w:val="22"/>
          <w:szCs w:val="22"/>
        </w:rPr>
        <w:t xml:space="preserve">ures aériennes à </w:t>
      </w:r>
      <w:r w:rsidRPr="00E27899">
        <w:rPr>
          <w:color w:val="000000" w:themeColor="text1"/>
          <w:sz w:val="22"/>
          <w:szCs w:val="22"/>
        </w:rPr>
        <w:t>un cout marginal</w:t>
      </w:r>
      <w:r w:rsidR="009E6872" w:rsidRPr="00E27899">
        <w:rPr>
          <w:color w:val="000000" w:themeColor="text1"/>
          <w:sz w:val="22"/>
          <w:szCs w:val="22"/>
        </w:rPr>
        <w:t>, à travers une convention qui fixe les aspects financiers, réglementaires et techniques</w:t>
      </w:r>
      <w:r w:rsidRPr="00E27899">
        <w:rPr>
          <w:color w:val="000000" w:themeColor="text1"/>
          <w:sz w:val="22"/>
          <w:szCs w:val="22"/>
        </w:rPr>
        <w:t>.</w:t>
      </w:r>
      <w:r w:rsidR="009E6872" w:rsidRPr="00E27899">
        <w:rPr>
          <w:color w:val="000000" w:themeColor="text1"/>
          <w:sz w:val="22"/>
          <w:szCs w:val="22"/>
        </w:rPr>
        <w:t xml:space="preserve"> La réutilisation </w:t>
      </w:r>
      <w:r w:rsidR="0031451F" w:rsidRPr="00E27899">
        <w:rPr>
          <w:color w:val="000000" w:themeColor="text1"/>
          <w:sz w:val="22"/>
          <w:szCs w:val="22"/>
        </w:rPr>
        <w:t xml:space="preserve">des infrastructures aériennes </w:t>
      </w:r>
      <w:r w:rsidR="009E6872" w:rsidRPr="00E27899">
        <w:rPr>
          <w:color w:val="000000" w:themeColor="text1"/>
          <w:sz w:val="22"/>
          <w:szCs w:val="22"/>
        </w:rPr>
        <w:t xml:space="preserve">est soumise à une grille d’analyse </w:t>
      </w:r>
      <w:r w:rsidR="0031451F" w:rsidRPr="00E27899">
        <w:rPr>
          <w:color w:val="000000" w:themeColor="text1"/>
          <w:sz w:val="22"/>
          <w:szCs w:val="22"/>
        </w:rPr>
        <w:t>de</w:t>
      </w:r>
      <w:r w:rsidR="009E6872" w:rsidRPr="00E27899">
        <w:rPr>
          <w:color w:val="000000" w:themeColor="text1"/>
          <w:sz w:val="22"/>
          <w:szCs w:val="22"/>
        </w:rPr>
        <w:t xml:space="preserve"> la direction technique</w:t>
      </w:r>
      <w:r w:rsidR="00BE7C59" w:rsidRPr="00E27899">
        <w:rPr>
          <w:color w:val="000000" w:themeColor="text1"/>
          <w:sz w:val="22"/>
          <w:szCs w:val="22"/>
        </w:rPr>
        <w:t xml:space="preserve"> </w:t>
      </w:r>
      <w:r w:rsidR="0031451F" w:rsidRPr="00E27899">
        <w:rPr>
          <w:color w:val="000000" w:themeColor="text1"/>
          <w:sz w:val="22"/>
          <w:szCs w:val="22"/>
        </w:rPr>
        <w:t>d’Enedis qui précise</w:t>
      </w:r>
      <w:r w:rsidR="00BE7C59" w:rsidRPr="00E27899">
        <w:rPr>
          <w:color w:val="000000" w:themeColor="text1"/>
          <w:sz w:val="22"/>
          <w:szCs w:val="22"/>
        </w:rPr>
        <w:t xml:space="preserve"> les conditions</w:t>
      </w:r>
      <w:r w:rsidR="0031451F" w:rsidRPr="00E27899">
        <w:rPr>
          <w:color w:val="000000" w:themeColor="text1"/>
          <w:sz w:val="22"/>
          <w:szCs w:val="22"/>
        </w:rPr>
        <w:t xml:space="preserve"> </w:t>
      </w:r>
      <w:r w:rsidR="00BE7C59" w:rsidRPr="00E27899">
        <w:rPr>
          <w:color w:val="000000" w:themeColor="text1"/>
          <w:sz w:val="22"/>
          <w:szCs w:val="22"/>
        </w:rPr>
        <w:t xml:space="preserve">d’utilisation des </w:t>
      </w:r>
      <w:r w:rsidR="0095120F">
        <w:rPr>
          <w:color w:val="000000" w:themeColor="text1"/>
          <w:sz w:val="22"/>
          <w:szCs w:val="22"/>
        </w:rPr>
        <w:t>appuis aériens.</w:t>
      </w:r>
      <w:r w:rsidR="00775B71">
        <w:rPr>
          <w:color w:val="000000" w:themeColor="text1"/>
          <w:sz w:val="22"/>
          <w:szCs w:val="22"/>
        </w:rPr>
        <w:t xml:space="preserve"> Il semble important de rappeler l’enjeu de sécurité des personnes opérant sur les réseaux électriques, et qu’ainsi les normes de sécurité électrique primeront sur celles des télécommunications. </w:t>
      </w:r>
    </w:p>
    <w:p w:rsidR="009E6872" w:rsidRPr="00E27899" w:rsidRDefault="009E6872" w:rsidP="00E27899">
      <w:pPr>
        <w:pStyle w:val="Default"/>
        <w:jc w:val="both"/>
        <w:rPr>
          <w:color w:val="000000" w:themeColor="text1"/>
          <w:sz w:val="22"/>
          <w:szCs w:val="22"/>
        </w:rPr>
      </w:pPr>
    </w:p>
    <w:p w:rsidR="00144AEA" w:rsidRDefault="00AB7EEA" w:rsidP="00E27899">
      <w:pPr>
        <w:pStyle w:val="Default"/>
        <w:ind w:firstLine="708"/>
        <w:jc w:val="both"/>
        <w:rPr>
          <w:color w:val="000000" w:themeColor="text1"/>
          <w:sz w:val="22"/>
          <w:szCs w:val="22"/>
        </w:rPr>
      </w:pPr>
      <w:r w:rsidRPr="00E27899">
        <w:rPr>
          <w:color w:val="000000" w:themeColor="text1"/>
          <w:sz w:val="22"/>
          <w:szCs w:val="22"/>
        </w:rPr>
        <w:t xml:space="preserve">Enedis a développé une compétence unique dans les protocoles CPL bandes étroites. En effet, le medium CPL </w:t>
      </w:r>
      <w:bookmarkStart w:id="0" w:name="_GoBack"/>
      <w:bookmarkEnd w:id="0"/>
      <w:r w:rsidRPr="00E27899">
        <w:rPr>
          <w:color w:val="000000" w:themeColor="text1"/>
          <w:sz w:val="22"/>
          <w:szCs w:val="22"/>
        </w:rPr>
        <w:t xml:space="preserve">est utilisé pour transporter les données depuis et vers les compteurs </w:t>
      </w:r>
      <w:proofErr w:type="spellStart"/>
      <w:r w:rsidRPr="00E27899">
        <w:rPr>
          <w:color w:val="000000" w:themeColor="text1"/>
          <w:sz w:val="22"/>
          <w:szCs w:val="22"/>
        </w:rPr>
        <w:t>Linky</w:t>
      </w:r>
      <w:proofErr w:type="spellEnd"/>
      <w:r w:rsidRPr="00E27899">
        <w:rPr>
          <w:color w:val="000000" w:themeColor="text1"/>
          <w:sz w:val="22"/>
          <w:szCs w:val="22"/>
        </w:rPr>
        <w:t xml:space="preserve"> communicants.  Enedis pourrait, à l’avenir, fournir une connectivité internet via son infrastructure CPL à des nœuds CPL tiers.</w:t>
      </w:r>
      <w:r w:rsidR="00DA7070">
        <w:rPr>
          <w:color w:val="000000" w:themeColor="text1"/>
          <w:sz w:val="22"/>
          <w:szCs w:val="22"/>
        </w:rPr>
        <w:t xml:space="preserve"> </w:t>
      </w:r>
      <w:r w:rsidR="009E6872" w:rsidRPr="00E27899">
        <w:rPr>
          <w:color w:val="000000" w:themeColor="text1"/>
          <w:sz w:val="22"/>
          <w:szCs w:val="22"/>
        </w:rPr>
        <w:t xml:space="preserve">Enedis reste vigilant sur </w:t>
      </w:r>
      <w:r w:rsidR="00A87AB7" w:rsidRPr="00E27899">
        <w:rPr>
          <w:color w:val="000000" w:themeColor="text1"/>
          <w:sz w:val="22"/>
          <w:szCs w:val="22"/>
        </w:rPr>
        <w:t xml:space="preserve">le respect de la reglementation du niveau </w:t>
      </w:r>
      <w:r w:rsidR="00A87AB7" w:rsidRPr="00E27899">
        <w:rPr>
          <w:color w:val="000000" w:themeColor="text1"/>
          <w:sz w:val="22"/>
          <w:szCs w:val="22"/>
        </w:rPr>
        <w:lastRenderedPageBreak/>
        <w:t xml:space="preserve">d’emission des nœuds CPL (in et hors-bande) pour ne pas nuire à </w:t>
      </w:r>
      <w:r w:rsidR="009E6872" w:rsidRPr="00E27899">
        <w:rPr>
          <w:color w:val="000000" w:themeColor="text1"/>
          <w:sz w:val="22"/>
          <w:szCs w:val="22"/>
        </w:rPr>
        <w:t>la qualité de fourniture</w:t>
      </w:r>
      <w:r w:rsidR="0031451F" w:rsidRPr="00E27899">
        <w:rPr>
          <w:color w:val="000000" w:themeColor="text1"/>
          <w:sz w:val="22"/>
          <w:szCs w:val="22"/>
        </w:rPr>
        <w:t xml:space="preserve"> d’électricité</w:t>
      </w:r>
      <w:r w:rsidR="009E6872" w:rsidRPr="00E27899">
        <w:rPr>
          <w:color w:val="000000" w:themeColor="text1"/>
          <w:sz w:val="22"/>
          <w:szCs w:val="22"/>
        </w:rPr>
        <w:t>.</w:t>
      </w:r>
      <w:r w:rsidR="00A87AB7" w:rsidRPr="00E27899">
        <w:rPr>
          <w:color w:val="000000" w:themeColor="text1"/>
          <w:sz w:val="22"/>
          <w:szCs w:val="22"/>
        </w:rPr>
        <w:t xml:space="preserve"> </w:t>
      </w:r>
    </w:p>
    <w:p w:rsidR="00AB7EEA" w:rsidRDefault="00AB7EEA" w:rsidP="000872F4">
      <w:pPr>
        <w:pStyle w:val="Default"/>
        <w:jc w:val="both"/>
        <w:rPr>
          <w:color w:val="000000" w:themeColor="text1"/>
          <w:sz w:val="22"/>
          <w:szCs w:val="22"/>
        </w:rPr>
      </w:pPr>
    </w:p>
    <w:p w:rsidR="000872F4" w:rsidRDefault="000872F4" w:rsidP="000872F4">
      <w:pPr>
        <w:pStyle w:val="Default"/>
        <w:jc w:val="both"/>
        <w:rPr>
          <w:color w:val="000000" w:themeColor="text1"/>
          <w:sz w:val="22"/>
          <w:szCs w:val="22"/>
        </w:rPr>
      </w:pPr>
    </w:p>
    <w:p w:rsidR="00481C27" w:rsidRPr="00C548FE" w:rsidRDefault="00481C27" w:rsidP="00E27899">
      <w:pPr>
        <w:pStyle w:val="Default"/>
        <w:jc w:val="both"/>
        <w:rPr>
          <w:i/>
          <w:color w:val="000000" w:themeColor="text1"/>
          <w:sz w:val="22"/>
          <w:szCs w:val="22"/>
        </w:rPr>
      </w:pPr>
      <w:r w:rsidRPr="00C548FE">
        <w:rPr>
          <w:i/>
          <w:color w:val="000000" w:themeColor="text1"/>
          <w:sz w:val="22"/>
          <w:szCs w:val="22"/>
        </w:rPr>
        <w:t xml:space="preserve">Question n° 4 : Avez-vous d’autres observations au regard des orientations énoncées ci-dessus ? </w:t>
      </w:r>
    </w:p>
    <w:p w:rsidR="00481C27" w:rsidRPr="00C548FE" w:rsidRDefault="00481C27" w:rsidP="00E27899">
      <w:pPr>
        <w:pStyle w:val="Default"/>
        <w:jc w:val="both"/>
        <w:rPr>
          <w:color w:val="000000" w:themeColor="text1"/>
          <w:sz w:val="22"/>
          <w:szCs w:val="22"/>
        </w:rPr>
      </w:pPr>
    </w:p>
    <w:p w:rsidR="00687342" w:rsidRPr="00687342" w:rsidRDefault="00687342" w:rsidP="00687342">
      <w:pPr>
        <w:ind w:firstLine="708"/>
        <w:rPr>
          <w:color w:val="000000" w:themeColor="text1"/>
        </w:rPr>
      </w:pPr>
      <w:r w:rsidRPr="00687342">
        <w:rPr>
          <w:color w:val="000000" w:themeColor="text1"/>
        </w:rPr>
        <w:t>Concernant l’orientation 5, en cas de non renouvellement des autorisations, il est important qu’un délai suffisant (selon la taille du parc) permette à Enedis de migrer son parc d’objets sur d’autres technologies.</w:t>
      </w:r>
    </w:p>
    <w:p w:rsidR="00687342" w:rsidRPr="00687342" w:rsidRDefault="00687342" w:rsidP="00687342">
      <w:pPr>
        <w:ind w:firstLine="708"/>
        <w:rPr>
          <w:color w:val="000000" w:themeColor="text1"/>
        </w:rPr>
      </w:pPr>
      <w:r w:rsidRPr="00687342">
        <w:rPr>
          <w:color w:val="000000" w:themeColor="text1"/>
        </w:rPr>
        <w:t xml:space="preserve">Concernant l’orientation 6, nous supportons la mise en place d’un service mobile et </w:t>
      </w:r>
      <w:proofErr w:type="spellStart"/>
      <w:r w:rsidRPr="00687342">
        <w:rPr>
          <w:color w:val="000000" w:themeColor="text1"/>
        </w:rPr>
        <w:t>IoT</w:t>
      </w:r>
      <w:proofErr w:type="spellEnd"/>
      <w:r w:rsidRPr="00687342">
        <w:rPr>
          <w:color w:val="000000" w:themeColor="text1"/>
        </w:rPr>
        <w:t xml:space="preserve"> de haute disponibilité que ce soit en fréquences libres ou sous licence.</w:t>
      </w:r>
    </w:p>
    <w:p w:rsidR="00687342" w:rsidRPr="00687342" w:rsidRDefault="00687342" w:rsidP="00687342">
      <w:pPr>
        <w:ind w:firstLine="708"/>
        <w:rPr>
          <w:color w:val="000000" w:themeColor="text1"/>
        </w:rPr>
      </w:pPr>
      <w:r w:rsidRPr="00687342">
        <w:rPr>
          <w:color w:val="000000" w:themeColor="text1"/>
        </w:rPr>
        <w:t>La mise en place d’une infrastructure résiliente est un enjeu de sécurité nationale notamment lors de la gestion de crises quelles qu’en soient les déclencheurs (crises climatiques, actes terroristes, …).</w:t>
      </w:r>
    </w:p>
    <w:p w:rsidR="00585E77" w:rsidRPr="00E27899" w:rsidRDefault="00585E77" w:rsidP="00E27899">
      <w:pPr>
        <w:pStyle w:val="Default"/>
        <w:jc w:val="both"/>
        <w:rPr>
          <w:color w:val="000000" w:themeColor="text1"/>
          <w:sz w:val="22"/>
          <w:szCs w:val="22"/>
        </w:rPr>
      </w:pPr>
    </w:p>
    <w:p w:rsidR="00481C27" w:rsidRPr="00E27899" w:rsidRDefault="00481C27" w:rsidP="00E27899">
      <w:pPr>
        <w:pStyle w:val="Default"/>
        <w:jc w:val="both"/>
        <w:rPr>
          <w:i/>
          <w:color w:val="000000" w:themeColor="text1"/>
          <w:sz w:val="22"/>
          <w:szCs w:val="22"/>
        </w:rPr>
      </w:pPr>
      <w:r w:rsidRPr="00E27899">
        <w:rPr>
          <w:i/>
          <w:color w:val="000000" w:themeColor="text1"/>
          <w:sz w:val="22"/>
          <w:szCs w:val="22"/>
        </w:rPr>
        <w:t xml:space="preserve">Question n° 5 : La mise en place d’un portail des fréquences libres vous semble-t-elle pertinente ? Que pensez-vous de la faisabilité de mise en </w:t>
      </w:r>
      <w:r w:rsidR="00791B67" w:rsidRPr="00E27899">
        <w:rPr>
          <w:i/>
          <w:color w:val="000000" w:themeColor="text1"/>
          <w:sz w:val="22"/>
          <w:szCs w:val="22"/>
        </w:rPr>
        <w:t>œuvre</w:t>
      </w:r>
      <w:r w:rsidRPr="00E27899">
        <w:rPr>
          <w:i/>
          <w:color w:val="000000" w:themeColor="text1"/>
          <w:sz w:val="22"/>
          <w:szCs w:val="22"/>
        </w:rPr>
        <w:t xml:space="preserve"> d’un dispositif d’évaluation des usages en bandes libres ? Comment surmonter le fait que, par construction, l’Arcep ne connaît pas ex ante les utilisateurs de fréquences libres (au contraire des fréquences attribuées par autorisations) ? Avez-vous des commentaires supplémentaires relatifs aux bandes libres, notamment leur identification ou règles d’utilisation ? </w:t>
      </w:r>
    </w:p>
    <w:p w:rsidR="00481C27" w:rsidRPr="00E27899" w:rsidRDefault="00481C27" w:rsidP="00E27899">
      <w:pPr>
        <w:pStyle w:val="Default"/>
        <w:jc w:val="both"/>
        <w:rPr>
          <w:color w:val="000000" w:themeColor="text1"/>
          <w:sz w:val="22"/>
          <w:szCs w:val="22"/>
        </w:rPr>
      </w:pPr>
    </w:p>
    <w:p w:rsidR="00791B67" w:rsidRPr="00687342" w:rsidRDefault="00687342" w:rsidP="00E27899">
      <w:pPr>
        <w:pStyle w:val="Default"/>
        <w:ind w:firstLine="708"/>
        <w:jc w:val="both"/>
        <w:rPr>
          <w:color w:val="000000" w:themeColor="text1"/>
          <w:sz w:val="22"/>
          <w:szCs w:val="22"/>
        </w:rPr>
      </w:pPr>
      <w:r w:rsidRPr="00687342">
        <w:rPr>
          <w:color w:val="000000" w:themeColor="text1"/>
          <w:sz w:val="22"/>
          <w:szCs w:val="22"/>
        </w:rPr>
        <w:t xml:space="preserve">Enedis est favorable à un tel portail. </w:t>
      </w:r>
      <w:r w:rsidR="005161AF" w:rsidRPr="00687342">
        <w:rPr>
          <w:color w:val="000000" w:themeColor="text1"/>
          <w:sz w:val="22"/>
          <w:szCs w:val="22"/>
        </w:rPr>
        <w:t>Enedis a précisé avec le groupe EDF ses attentes liées aux différentes règles d’utilisation des fréquences libres dans le cadre de la précédente consultation de l’ARCEP sur l’</w:t>
      </w:r>
      <w:proofErr w:type="spellStart"/>
      <w:r w:rsidR="005161AF" w:rsidRPr="00687342">
        <w:rPr>
          <w:color w:val="000000" w:themeColor="text1"/>
          <w:sz w:val="22"/>
          <w:szCs w:val="22"/>
        </w:rPr>
        <w:t>IoT</w:t>
      </w:r>
      <w:proofErr w:type="spellEnd"/>
      <w:r w:rsidR="005161AF" w:rsidRPr="00687342">
        <w:rPr>
          <w:color w:val="000000" w:themeColor="text1"/>
          <w:sz w:val="22"/>
          <w:szCs w:val="22"/>
        </w:rPr>
        <w:t xml:space="preserve"> (</w:t>
      </w:r>
      <w:r w:rsidR="005161AF" w:rsidRPr="00687342">
        <w:rPr>
          <w:i/>
          <w:color w:val="000000" w:themeColor="text1"/>
          <w:sz w:val="22"/>
          <w:szCs w:val="22"/>
        </w:rPr>
        <w:t>Nouvelles opportunités pour l’utilisation des bandes 862 - 870 MHz, 870 - 876 MHz et 915 - 921 MHz</w:t>
      </w:r>
      <w:r w:rsidR="005161AF" w:rsidRPr="00687342">
        <w:rPr>
          <w:color w:val="000000" w:themeColor="text1"/>
          <w:sz w:val="22"/>
          <w:szCs w:val="22"/>
        </w:rPr>
        <w:t>).</w:t>
      </w:r>
      <w:r w:rsidR="00791B67" w:rsidRPr="00687342">
        <w:rPr>
          <w:color w:val="000000" w:themeColor="text1"/>
          <w:sz w:val="22"/>
          <w:szCs w:val="22"/>
        </w:rPr>
        <w:t xml:space="preserve"> </w:t>
      </w:r>
    </w:p>
    <w:p w:rsidR="00C548FE" w:rsidRPr="00C548FE" w:rsidRDefault="00C548FE" w:rsidP="00E27899">
      <w:pPr>
        <w:pStyle w:val="Default"/>
        <w:ind w:firstLine="708"/>
        <w:jc w:val="both"/>
        <w:rPr>
          <w:color w:val="000000" w:themeColor="text1"/>
          <w:sz w:val="22"/>
          <w:szCs w:val="22"/>
        </w:rPr>
      </w:pPr>
      <w:r w:rsidRPr="00687342">
        <w:rPr>
          <w:color w:val="000000" w:themeColor="text1"/>
          <w:sz w:val="22"/>
          <w:szCs w:val="22"/>
        </w:rPr>
        <w:t>Il est essentiel que l’ARCEP puisse maitriser les réseaux déployés à la fois pour des raisons de sécurité nationale (traçabilité des communications électroniques), de soutien à la création d’écosystèmes pérennes (maitrise de la congestion du spectre fréquentiel) et d’équité concurrentielle (éviter que des acteurs puissants ne préemptent l’espace</w:t>
      </w:r>
      <w:r w:rsidRPr="00C548FE">
        <w:rPr>
          <w:color w:val="000000" w:themeColor="text1"/>
          <w:sz w:val="22"/>
          <w:szCs w:val="22"/>
        </w:rPr>
        <w:t xml:space="preserve"> d’innovation).</w:t>
      </w:r>
    </w:p>
    <w:p w:rsidR="00791B67" w:rsidRDefault="00791B67" w:rsidP="00E27899">
      <w:pPr>
        <w:pStyle w:val="Default"/>
        <w:jc w:val="both"/>
        <w:rPr>
          <w:color w:val="000000" w:themeColor="text1"/>
          <w:sz w:val="22"/>
          <w:szCs w:val="22"/>
        </w:rPr>
      </w:pPr>
    </w:p>
    <w:p w:rsidR="005161AF" w:rsidRDefault="005161AF" w:rsidP="00E27899">
      <w:pPr>
        <w:pStyle w:val="Default"/>
        <w:jc w:val="both"/>
        <w:rPr>
          <w:i/>
          <w:color w:val="000000" w:themeColor="text1"/>
          <w:sz w:val="22"/>
          <w:szCs w:val="22"/>
        </w:rPr>
      </w:pPr>
    </w:p>
    <w:p w:rsidR="00481C27" w:rsidRPr="00E27899" w:rsidRDefault="00481C27" w:rsidP="00E27899">
      <w:pPr>
        <w:pStyle w:val="Default"/>
        <w:jc w:val="both"/>
        <w:rPr>
          <w:i/>
          <w:color w:val="000000" w:themeColor="text1"/>
          <w:sz w:val="22"/>
          <w:szCs w:val="22"/>
        </w:rPr>
      </w:pPr>
      <w:r w:rsidRPr="00E27899">
        <w:rPr>
          <w:i/>
          <w:color w:val="000000" w:themeColor="text1"/>
          <w:sz w:val="22"/>
          <w:szCs w:val="22"/>
        </w:rPr>
        <w:t xml:space="preserve">Question n° 6 : Quelle est votre vision de la pénurie des identifiants, notamment IP, dans le cadre de l’internet des objets ? </w:t>
      </w:r>
    </w:p>
    <w:p w:rsidR="00F666E1" w:rsidRPr="00E27899" w:rsidRDefault="00F666E1" w:rsidP="00E27899">
      <w:pPr>
        <w:pStyle w:val="Default"/>
        <w:jc w:val="both"/>
        <w:rPr>
          <w:i/>
          <w:color w:val="000000" w:themeColor="text1"/>
          <w:sz w:val="22"/>
          <w:szCs w:val="22"/>
        </w:rPr>
      </w:pPr>
    </w:p>
    <w:p w:rsidR="00481C27" w:rsidRDefault="00C548FE" w:rsidP="000872F4">
      <w:pPr>
        <w:ind w:firstLine="708"/>
        <w:rPr>
          <w:color w:val="000000" w:themeColor="text1"/>
        </w:rPr>
      </w:pPr>
      <w:r w:rsidRPr="00C548FE">
        <w:rPr>
          <w:color w:val="000000" w:themeColor="text1"/>
        </w:rPr>
        <w:t xml:space="preserve">Si l’intérêt des objets connectés est avéré et que les promesses de modules télécoms à bas prix sont réalisées, rien ne s’opposera à l’explosion tant annoncée de l’Internet des Objets. Pour ceux d’entre eux qui devront utiliser le protocole IP pour transporter les informations, il se posera la question de la pénurie </w:t>
      </w:r>
      <w:r w:rsidR="008815F1" w:rsidRPr="00C548FE">
        <w:rPr>
          <w:color w:val="000000" w:themeColor="text1"/>
        </w:rPr>
        <w:t>des adresses</w:t>
      </w:r>
      <w:r w:rsidRPr="00C548FE">
        <w:rPr>
          <w:color w:val="000000" w:themeColor="text1"/>
        </w:rPr>
        <w:t xml:space="preserve"> IPv4. Concernant le réseau d’Enedis, cela peut concerner jusqu’à quelques centaines de milliers d’équipements et plusieurs millions d’objets. Un espace d’adressage quasi illimité lève la question de la gestion de la pénurie d’adresses et facilite la gestion des objets connectés (évite la duplication de plans d’adressage).</w:t>
      </w:r>
    </w:p>
    <w:p w:rsidR="00585E77" w:rsidRPr="00E27899" w:rsidRDefault="00585E77" w:rsidP="00E27899">
      <w:pPr>
        <w:pStyle w:val="Default"/>
        <w:jc w:val="both"/>
        <w:rPr>
          <w:color w:val="000000" w:themeColor="text1"/>
          <w:sz w:val="22"/>
          <w:szCs w:val="22"/>
        </w:rPr>
      </w:pPr>
    </w:p>
    <w:p w:rsidR="00481C27" w:rsidRPr="00045D49" w:rsidRDefault="00481C27" w:rsidP="00E27899">
      <w:pPr>
        <w:pStyle w:val="Default"/>
        <w:jc w:val="both"/>
        <w:rPr>
          <w:i/>
          <w:color w:val="000000" w:themeColor="text1"/>
          <w:sz w:val="22"/>
          <w:szCs w:val="22"/>
        </w:rPr>
      </w:pPr>
      <w:r w:rsidRPr="00045D49">
        <w:rPr>
          <w:i/>
          <w:color w:val="000000" w:themeColor="text1"/>
          <w:sz w:val="22"/>
          <w:szCs w:val="22"/>
        </w:rPr>
        <w:t xml:space="preserve">Question n° 7 : Avez-vous d’autres observations au regard des orientations énoncées ci-dessus ? </w:t>
      </w:r>
    </w:p>
    <w:p w:rsidR="008207F5" w:rsidRPr="00E27899" w:rsidRDefault="008207F5" w:rsidP="00E27899">
      <w:pPr>
        <w:pStyle w:val="Default"/>
        <w:jc w:val="both"/>
        <w:rPr>
          <w:color w:val="000000" w:themeColor="text1"/>
          <w:sz w:val="22"/>
          <w:szCs w:val="22"/>
        </w:rPr>
      </w:pPr>
    </w:p>
    <w:p w:rsidR="008207F5" w:rsidRDefault="008207F5" w:rsidP="00E27899">
      <w:pPr>
        <w:pStyle w:val="Default"/>
        <w:ind w:firstLine="708"/>
        <w:jc w:val="both"/>
        <w:rPr>
          <w:color w:val="000000" w:themeColor="text1"/>
          <w:sz w:val="22"/>
          <w:szCs w:val="22"/>
        </w:rPr>
      </w:pPr>
      <w:r w:rsidRPr="00E27899">
        <w:rPr>
          <w:color w:val="000000" w:themeColor="text1"/>
          <w:sz w:val="22"/>
          <w:szCs w:val="22"/>
        </w:rPr>
        <w:t>Enedis regarde avec intérêt les initiatives de certains régulateurs européens comme l’OFCOM (</w:t>
      </w:r>
      <w:r w:rsidR="0031451F" w:rsidRPr="00E27899">
        <w:rPr>
          <w:color w:val="000000" w:themeColor="text1"/>
          <w:sz w:val="22"/>
          <w:szCs w:val="22"/>
        </w:rPr>
        <w:t xml:space="preserve">régulateur télécom au </w:t>
      </w:r>
      <w:r w:rsidRPr="00E27899">
        <w:rPr>
          <w:color w:val="000000" w:themeColor="text1"/>
          <w:sz w:val="22"/>
          <w:szCs w:val="22"/>
        </w:rPr>
        <w:t xml:space="preserve">Royaume uni) qui attribue une bande VHF (65-81.5 Mhz) pour l’IoT, spectre particulièrement adapté pour les secteurs ruraux et </w:t>
      </w:r>
      <w:r w:rsidR="00D13195" w:rsidRPr="00E27899">
        <w:rPr>
          <w:color w:val="000000" w:themeColor="text1"/>
          <w:sz w:val="22"/>
          <w:szCs w:val="22"/>
        </w:rPr>
        <w:t>énergétiques</w:t>
      </w:r>
      <w:r w:rsidRPr="00E27899">
        <w:rPr>
          <w:color w:val="000000" w:themeColor="text1"/>
          <w:sz w:val="22"/>
          <w:szCs w:val="22"/>
        </w:rPr>
        <w:t>.</w:t>
      </w:r>
    </w:p>
    <w:p w:rsidR="002237E0" w:rsidRPr="002237E0" w:rsidRDefault="002237E0" w:rsidP="002237E0">
      <w:pPr>
        <w:ind w:firstLine="708"/>
        <w:rPr>
          <w:color w:val="000000" w:themeColor="text1"/>
        </w:rPr>
      </w:pPr>
      <w:r w:rsidRPr="002237E0">
        <w:rPr>
          <w:color w:val="000000" w:themeColor="text1"/>
        </w:rPr>
        <w:t>Il serait pertinent de réorganiser le spectre pour dégager une bande FDD d’au moins 2 x 1,4 MHz et d’agir conjointement en normalisation pour intégrer cette bande dans l’écosystème LTE et pérenniser ainsi l’usage de cette bande.</w:t>
      </w:r>
    </w:p>
    <w:p w:rsidR="00481C27" w:rsidRDefault="00481C27" w:rsidP="00E27899">
      <w:pPr>
        <w:pStyle w:val="Default"/>
        <w:jc w:val="both"/>
        <w:rPr>
          <w:color w:val="000000" w:themeColor="text1"/>
          <w:sz w:val="22"/>
          <w:szCs w:val="22"/>
        </w:rPr>
      </w:pPr>
    </w:p>
    <w:p w:rsidR="00481C27" w:rsidRPr="00E27899" w:rsidRDefault="00481C27" w:rsidP="00E27899">
      <w:pPr>
        <w:pStyle w:val="Default"/>
        <w:jc w:val="both"/>
        <w:rPr>
          <w:i/>
          <w:color w:val="000000" w:themeColor="text1"/>
          <w:sz w:val="22"/>
          <w:szCs w:val="22"/>
        </w:rPr>
      </w:pPr>
      <w:r w:rsidRPr="00E27899">
        <w:rPr>
          <w:i/>
          <w:color w:val="000000" w:themeColor="text1"/>
          <w:sz w:val="22"/>
          <w:szCs w:val="22"/>
        </w:rPr>
        <w:t xml:space="preserve">Question n° 8 : Avez-vous des commentaires relatifs aux démarches européennes engagées au sujet de l’internet des objets ? </w:t>
      </w:r>
    </w:p>
    <w:p w:rsidR="00F666E1" w:rsidRPr="00E27899" w:rsidRDefault="00F666E1" w:rsidP="00E27899">
      <w:pPr>
        <w:pStyle w:val="Default"/>
        <w:jc w:val="both"/>
        <w:rPr>
          <w:color w:val="000000" w:themeColor="text1"/>
          <w:sz w:val="22"/>
          <w:szCs w:val="22"/>
        </w:rPr>
      </w:pPr>
    </w:p>
    <w:p w:rsidR="00A73284" w:rsidRDefault="00687342" w:rsidP="000872F4">
      <w:pPr>
        <w:ind w:firstLine="708"/>
        <w:rPr>
          <w:color w:val="000000" w:themeColor="text1"/>
        </w:rPr>
      </w:pPr>
      <w:r w:rsidRPr="00687342">
        <w:rPr>
          <w:color w:val="000000" w:themeColor="text1"/>
        </w:rPr>
        <w:t>Enedis est favorable à ces démarches.</w:t>
      </w:r>
    </w:p>
    <w:p w:rsidR="00585E77" w:rsidRPr="00E27899" w:rsidRDefault="00585E77" w:rsidP="00E27899">
      <w:pPr>
        <w:pStyle w:val="Default"/>
        <w:jc w:val="both"/>
        <w:rPr>
          <w:color w:val="000000" w:themeColor="text1"/>
          <w:sz w:val="22"/>
          <w:szCs w:val="22"/>
        </w:rPr>
      </w:pPr>
    </w:p>
    <w:p w:rsidR="00481C27" w:rsidRPr="00E27899" w:rsidRDefault="00481C27" w:rsidP="00E27899">
      <w:pPr>
        <w:pStyle w:val="Default"/>
        <w:jc w:val="both"/>
        <w:rPr>
          <w:i/>
          <w:color w:val="000000" w:themeColor="text1"/>
          <w:sz w:val="22"/>
          <w:szCs w:val="22"/>
        </w:rPr>
      </w:pPr>
      <w:r w:rsidRPr="00E27899">
        <w:rPr>
          <w:i/>
          <w:color w:val="000000" w:themeColor="text1"/>
          <w:sz w:val="22"/>
          <w:szCs w:val="22"/>
        </w:rPr>
        <w:t xml:space="preserve">Question n° 9 : La généralisation des solutions de mise à jour à distance des cartes SIM vous semble-t-elle pertinente pour favoriser l’ouverture de l’internet des objets ? Quelle devrait être selon vous l’action de l’Arcep à cet égard ? </w:t>
      </w:r>
    </w:p>
    <w:p w:rsidR="00F30E9B" w:rsidRPr="00E27899" w:rsidRDefault="00F30E9B" w:rsidP="00E27899">
      <w:pPr>
        <w:pStyle w:val="Default"/>
        <w:jc w:val="both"/>
        <w:rPr>
          <w:color w:val="000000" w:themeColor="text1"/>
          <w:sz w:val="22"/>
          <w:szCs w:val="22"/>
        </w:rPr>
      </w:pPr>
    </w:p>
    <w:p w:rsidR="00687342" w:rsidRPr="00687342" w:rsidRDefault="00687342" w:rsidP="00687342">
      <w:pPr>
        <w:ind w:firstLine="708"/>
        <w:rPr>
          <w:color w:val="000000" w:themeColor="text1"/>
        </w:rPr>
      </w:pPr>
      <w:r w:rsidRPr="00687342">
        <w:rPr>
          <w:color w:val="000000" w:themeColor="text1"/>
        </w:rPr>
        <w:t xml:space="preserve">La mise à jour des cartes SIM (changement de profil par exemple) peut nécessiter  un débit minimum incompatible pour certains objets fonctionnant sur des réseaux </w:t>
      </w:r>
      <w:proofErr w:type="spellStart"/>
      <w:r w:rsidRPr="00687342">
        <w:rPr>
          <w:color w:val="000000" w:themeColor="text1"/>
        </w:rPr>
        <w:t>IoT</w:t>
      </w:r>
      <w:proofErr w:type="spellEnd"/>
      <w:r w:rsidRPr="00687342">
        <w:rPr>
          <w:color w:val="000000" w:themeColor="text1"/>
        </w:rPr>
        <w:t xml:space="preserve"> cellulaires orientés très bas débit. L’ARCEP devrait être vigilante sur cette problématique pour disposer d’une concurrence.</w:t>
      </w:r>
    </w:p>
    <w:p w:rsidR="00687342" w:rsidRPr="00687342" w:rsidRDefault="00687342" w:rsidP="00687342">
      <w:pPr>
        <w:ind w:firstLine="708"/>
        <w:rPr>
          <w:color w:val="000000" w:themeColor="text1"/>
        </w:rPr>
      </w:pPr>
      <w:r w:rsidRPr="00687342">
        <w:rPr>
          <w:color w:val="000000" w:themeColor="text1"/>
        </w:rPr>
        <w:t>Les coûts d’abonnement et de migration liés à l’offre de mise à jour des cartes SIM des objets connectés pourraient être un frein à l’émergence de ce type d’offres.</w:t>
      </w:r>
    </w:p>
    <w:p w:rsidR="00687342" w:rsidRDefault="00687342" w:rsidP="000872F4">
      <w:pPr>
        <w:ind w:firstLine="708"/>
        <w:rPr>
          <w:color w:val="000000" w:themeColor="text1"/>
        </w:rPr>
      </w:pPr>
      <w:r w:rsidRPr="00687342">
        <w:rPr>
          <w:color w:val="000000" w:themeColor="text1"/>
        </w:rPr>
        <w:t xml:space="preserve">Le principal avantage de la mise à jour des cartes SIM serait de dynamiser le marché en </w:t>
      </w:r>
      <w:proofErr w:type="gramStart"/>
      <w:r w:rsidRPr="00687342">
        <w:rPr>
          <w:color w:val="000000" w:themeColor="text1"/>
        </w:rPr>
        <w:t>permettant</w:t>
      </w:r>
      <w:proofErr w:type="gramEnd"/>
      <w:r w:rsidRPr="00687342">
        <w:rPr>
          <w:color w:val="000000" w:themeColor="text1"/>
        </w:rPr>
        <w:t xml:space="preserve"> de changer d’opérateur à distance pendant la durée de vie de l’objet.</w:t>
      </w:r>
    </w:p>
    <w:p w:rsidR="002237E0" w:rsidRPr="00E27899" w:rsidRDefault="002237E0" w:rsidP="00E27899">
      <w:pPr>
        <w:pStyle w:val="Default"/>
        <w:jc w:val="both"/>
        <w:rPr>
          <w:color w:val="000000" w:themeColor="text1"/>
          <w:sz w:val="22"/>
          <w:szCs w:val="22"/>
        </w:rPr>
      </w:pPr>
    </w:p>
    <w:p w:rsidR="00481C27" w:rsidRPr="00E27899" w:rsidRDefault="00481C27" w:rsidP="00E27899">
      <w:pPr>
        <w:pStyle w:val="Default"/>
        <w:jc w:val="both"/>
        <w:rPr>
          <w:i/>
          <w:color w:val="000000" w:themeColor="text1"/>
          <w:sz w:val="22"/>
          <w:szCs w:val="22"/>
        </w:rPr>
      </w:pPr>
      <w:r w:rsidRPr="00E27899">
        <w:rPr>
          <w:i/>
          <w:color w:val="000000" w:themeColor="text1"/>
          <w:sz w:val="22"/>
          <w:szCs w:val="22"/>
        </w:rPr>
        <w:t>Question n° 10 : Enfin, la définition par les pouvoirs publics d’un référentiel commun de comparaison des offres de connectivité vous semble-t-elle appropriée ? En particulier, une implication de l’Arcep au sujet des cartes de couverture des réseaux supports de l’internet des objet</w:t>
      </w:r>
      <w:r w:rsidR="00704B0F" w:rsidRPr="00E27899">
        <w:rPr>
          <w:i/>
          <w:color w:val="000000" w:themeColor="text1"/>
          <w:sz w:val="22"/>
          <w:szCs w:val="22"/>
        </w:rPr>
        <w:t>s</w:t>
      </w:r>
      <w:r w:rsidRPr="00E27899">
        <w:rPr>
          <w:i/>
          <w:color w:val="000000" w:themeColor="text1"/>
          <w:sz w:val="22"/>
          <w:szCs w:val="22"/>
        </w:rPr>
        <w:t xml:space="preserve"> vous semble-t-elle souhaitable ? </w:t>
      </w:r>
    </w:p>
    <w:p w:rsidR="0095120F" w:rsidRDefault="0095120F" w:rsidP="00687342">
      <w:pPr>
        <w:pStyle w:val="Default"/>
        <w:ind w:firstLine="708"/>
        <w:jc w:val="both"/>
        <w:rPr>
          <w:color w:val="000000" w:themeColor="text1"/>
          <w:sz w:val="22"/>
          <w:szCs w:val="22"/>
        </w:rPr>
      </w:pPr>
    </w:p>
    <w:p w:rsidR="005D2067" w:rsidRPr="00687342" w:rsidRDefault="00704B0F" w:rsidP="00687342">
      <w:pPr>
        <w:pStyle w:val="Default"/>
        <w:ind w:firstLine="708"/>
        <w:jc w:val="both"/>
        <w:rPr>
          <w:color w:val="000000" w:themeColor="text1"/>
          <w:sz w:val="22"/>
          <w:szCs w:val="22"/>
        </w:rPr>
      </w:pPr>
      <w:r w:rsidRPr="00687342">
        <w:rPr>
          <w:color w:val="000000" w:themeColor="text1"/>
          <w:sz w:val="22"/>
          <w:szCs w:val="22"/>
        </w:rPr>
        <w:t>L’ARCEP est bien dans son rôle</w:t>
      </w:r>
      <w:r w:rsidR="00D13195" w:rsidRPr="00687342">
        <w:rPr>
          <w:color w:val="000000" w:themeColor="text1"/>
          <w:sz w:val="22"/>
          <w:szCs w:val="22"/>
        </w:rPr>
        <w:t xml:space="preserve"> et son implication dans la fourniture des cartes de couverture est souhaitable</w:t>
      </w:r>
      <w:r w:rsidRPr="00687342">
        <w:rPr>
          <w:color w:val="000000" w:themeColor="text1"/>
          <w:sz w:val="22"/>
          <w:szCs w:val="22"/>
        </w:rPr>
        <w:t>. Enedis souhaite disposer des cartes de couverture des réseaux supports de l’internet des objets.</w:t>
      </w:r>
      <w:r w:rsidR="00687342" w:rsidRPr="00687342">
        <w:rPr>
          <w:color w:val="000000" w:themeColor="text1"/>
          <w:sz w:val="22"/>
          <w:szCs w:val="22"/>
        </w:rPr>
        <w:t xml:space="preserve"> </w:t>
      </w:r>
      <w:r w:rsidR="005D2067" w:rsidRPr="00687342">
        <w:rPr>
          <w:color w:val="000000" w:themeColor="text1"/>
          <w:sz w:val="22"/>
          <w:szCs w:val="22"/>
        </w:rPr>
        <w:t xml:space="preserve">Il </w:t>
      </w:r>
      <w:r w:rsidR="00687342" w:rsidRPr="00687342">
        <w:rPr>
          <w:color w:val="000000" w:themeColor="text1"/>
          <w:sz w:val="22"/>
          <w:szCs w:val="22"/>
        </w:rPr>
        <w:t xml:space="preserve">est nécessaire de pouvoir </w:t>
      </w:r>
      <w:r w:rsidR="005D2067" w:rsidRPr="00687342">
        <w:rPr>
          <w:color w:val="000000" w:themeColor="text1"/>
          <w:sz w:val="22"/>
          <w:szCs w:val="22"/>
        </w:rPr>
        <w:t>disposer de cartes de couverture détaillées (avec fonction de zoom) dans la mesure où certains objets connectés peuvent être déployés dans des zones très peu denses donc généralement mal couvertes par les opérateurs (ex : dans une commune mais hors du centre-bourg, sur des axes de transport non prioritaires, etc.).</w:t>
      </w:r>
    </w:p>
    <w:p w:rsidR="00481C27" w:rsidRDefault="00481C27" w:rsidP="00E27899">
      <w:pPr>
        <w:pStyle w:val="Default"/>
        <w:jc w:val="both"/>
        <w:rPr>
          <w:color w:val="000000" w:themeColor="text1"/>
          <w:sz w:val="22"/>
          <w:szCs w:val="22"/>
        </w:rPr>
      </w:pPr>
    </w:p>
    <w:p w:rsidR="00585E77" w:rsidRPr="00E27899" w:rsidRDefault="00585E77" w:rsidP="00E27899">
      <w:pPr>
        <w:pStyle w:val="Default"/>
        <w:jc w:val="both"/>
        <w:rPr>
          <w:color w:val="000000" w:themeColor="text1"/>
          <w:sz w:val="22"/>
          <w:szCs w:val="22"/>
        </w:rPr>
      </w:pPr>
    </w:p>
    <w:p w:rsidR="000872F4" w:rsidRDefault="000872F4" w:rsidP="00E27899">
      <w:pPr>
        <w:pStyle w:val="Default"/>
        <w:jc w:val="both"/>
        <w:rPr>
          <w:i/>
          <w:color w:val="000000" w:themeColor="text1"/>
          <w:sz w:val="22"/>
          <w:szCs w:val="22"/>
        </w:rPr>
      </w:pPr>
    </w:p>
    <w:p w:rsidR="00481C27" w:rsidRPr="00E27899" w:rsidRDefault="00481C27" w:rsidP="00E27899">
      <w:pPr>
        <w:pStyle w:val="Default"/>
        <w:jc w:val="both"/>
        <w:rPr>
          <w:i/>
          <w:color w:val="000000" w:themeColor="text1"/>
          <w:sz w:val="22"/>
          <w:szCs w:val="22"/>
        </w:rPr>
      </w:pPr>
      <w:r w:rsidRPr="00E27899">
        <w:rPr>
          <w:i/>
          <w:color w:val="000000" w:themeColor="text1"/>
          <w:sz w:val="22"/>
          <w:szCs w:val="22"/>
        </w:rPr>
        <w:lastRenderedPageBreak/>
        <w:t xml:space="preserve">Question n° 11 : Avez-vous d’autres observations au regard des orientations énoncées ci-dessus ? </w:t>
      </w:r>
    </w:p>
    <w:p w:rsidR="00D13195" w:rsidRPr="00E27899" w:rsidRDefault="00D13195" w:rsidP="00E27899">
      <w:pPr>
        <w:pStyle w:val="Default"/>
        <w:ind w:firstLine="708"/>
        <w:jc w:val="both"/>
        <w:rPr>
          <w:color w:val="000000" w:themeColor="text1"/>
          <w:sz w:val="22"/>
          <w:szCs w:val="22"/>
        </w:rPr>
      </w:pPr>
    </w:p>
    <w:p w:rsidR="00687342" w:rsidRPr="00265B20" w:rsidRDefault="00687342" w:rsidP="00265B20">
      <w:pPr>
        <w:pStyle w:val="Default"/>
        <w:ind w:firstLine="708"/>
        <w:rPr>
          <w:color w:val="000000" w:themeColor="text1"/>
          <w:sz w:val="22"/>
          <w:szCs w:val="22"/>
        </w:rPr>
      </w:pPr>
      <w:r w:rsidRPr="00265B20">
        <w:rPr>
          <w:rFonts w:cs="Times New Roman"/>
          <w:color w:val="000000" w:themeColor="text1"/>
          <w:sz w:val="22"/>
          <w:szCs w:val="22"/>
        </w:rPr>
        <w:t>Enedis supporte l’objectif de disposer d’un référentiel commun neutre en particulier sur la qualité de la connectivité (en plus de la couverture).</w:t>
      </w:r>
      <w:r w:rsidR="00265B20" w:rsidRPr="00265B20">
        <w:rPr>
          <w:rFonts w:cs="Times New Roman"/>
          <w:color w:val="000000" w:themeColor="text1"/>
          <w:sz w:val="22"/>
          <w:szCs w:val="22"/>
        </w:rPr>
        <w:t xml:space="preserve"> </w:t>
      </w:r>
      <w:r w:rsidRPr="00265B20">
        <w:rPr>
          <w:color w:val="000000" w:themeColor="text1"/>
          <w:sz w:val="22"/>
          <w:szCs w:val="22"/>
        </w:rPr>
        <w:t>Il est également important  que la question de la qualité de service (débit, technologie bidirectionnelle, résilience, …) puisse être traitée.</w:t>
      </w:r>
    </w:p>
    <w:p w:rsidR="00481C27" w:rsidRPr="00265B20" w:rsidRDefault="00481C27" w:rsidP="00E27899">
      <w:pPr>
        <w:pStyle w:val="Default"/>
        <w:jc w:val="both"/>
        <w:rPr>
          <w:i/>
          <w:color w:val="000000" w:themeColor="text1"/>
          <w:sz w:val="22"/>
          <w:szCs w:val="22"/>
        </w:rPr>
      </w:pPr>
    </w:p>
    <w:p w:rsidR="00585E77" w:rsidRPr="00E27899" w:rsidRDefault="00585E77" w:rsidP="00E27899">
      <w:pPr>
        <w:pStyle w:val="Default"/>
        <w:jc w:val="both"/>
        <w:rPr>
          <w:i/>
          <w:color w:val="000000" w:themeColor="text1"/>
          <w:sz w:val="22"/>
          <w:szCs w:val="22"/>
        </w:rPr>
      </w:pPr>
    </w:p>
    <w:p w:rsidR="00481C27" w:rsidRPr="00E27899" w:rsidRDefault="00481C27" w:rsidP="00E27899">
      <w:pPr>
        <w:pStyle w:val="Default"/>
        <w:jc w:val="both"/>
        <w:rPr>
          <w:i/>
          <w:color w:val="000000" w:themeColor="text1"/>
          <w:sz w:val="22"/>
          <w:szCs w:val="22"/>
        </w:rPr>
      </w:pPr>
      <w:r w:rsidRPr="00E27899">
        <w:rPr>
          <w:i/>
          <w:color w:val="000000" w:themeColor="text1"/>
          <w:sz w:val="22"/>
          <w:szCs w:val="22"/>
        </w:rPr>
        <w:t xml:space="preserve">Question n° 12 : Souhaitez-vous formuler des observations au regard des orientations énoncées ci-dessus ? </w:t>
      </w:r>
    </w:p>
    <w:p w:rsidR="00481C27" w:rsidRPr="008815F1" w:rsidRDefault="00481C27" w:rsidP="00E27899">
      <w:pPr>
        <w:pStyle w:val="Default"/>
        <w:jc w:val="both"/>
        <w:rPr>
          <w:color w:val="000000" w:themeColor="text1"/>
          <w:sz w:val="22"/>
          <w:szCs w:val="22"/>
        </w:rPr>
      </w:pPr>
    </w:p>
    <w:p w:rsidR="00423341" w:rsidRDefault="00423341" w:rsidP="00265B20">
      <w:pPr>
        <w:pStyle w:val="Default"/>
        <w:ind w:firstLine="708"/>
        <w:rPr>
          <w:rFonts w:cs="Times New Roman"/>
          <w:color w:val="000000" w:themeColor="text1"/>
          <w:sz w:val="22"/>
          <w:szCs w:val="22"/>
        </w:rPr>
      </w:pPr>
      <w:r>
        <w:rPr>
          <w:rFonts w:cs="Times New Roman"/>
          <w:color w:val="000000" w:themeColor="text1"/>
          <w:sz w:val="22"/>
          <w:szCs w:val="22"/>
        </w:rPr>
        <w:t xml:space="preserve">Une des promesses de l’Internet des Objets est de pouvoir déployer des capteurs pour de nouvelles applications beaucoup plus diffuses que possible précédemment, permettant à terme que tout objet puisse être communicant. Dans ce contexte, nous souhaitons que deux principes soient établis :  </w:t>
      </w:r>
    </w:p>
    <w:p w:rsidR="00423341" w:rsidRDefault="00423341" w:rsidP="00423341">
      <w:pPr>
        <w:pStyle w:val="Default"/>
        <w:numPr>
          <w:ilvl w:val="0"/>
          <w:numId w:val="6"/>
        </w:numPr>
        <w:rPr>
          <w:rFonts w:cs="Times New Roman"/>
          <w:color w:val="000000" w:themeColor="text1"/>
          <w:sz w:val="22"/>
          <w:szCs w:val="22"/>
        </w:rPr>
      </w:pPr>
      <w:r>
        <w:rPr>
          <w:rFonts w:cs="Times New Roman"/>
          <w:color w:val="000000" w:themeColor="text1"/>
          <w:sz w:val="22"/>
          <w:szCs w:val="22"/>
        </w:rPr>
        <w:t>le propriétaire d’un capteur communicant est informé de toutes les données captées et transmises par celui-ci,</w:t>
      </w:r>
    </w:p>
    <w:p w:rsidR="00423341" w:rsidRDefault="00423341" w:rsidP="00423341">
      <w:pPr>
        <w:pStyle w:val="Default"/>
        <w:numPr>
          <w:ilvl w:val="0"/>
          <w:numId w:val="6"/>
        </w:numPr>
        <w:rPr>
          <w:rFonts w:cs="Times New Roman"/>
          <w:color w:val="000000" w:themeColor="text1"/>
          <w:sz w:val="22"/>
          <w:szCs w:val="22"/>
        </w:rPr>
      </w:pPr>
      <w:r>
        <w:rPr>
          <w:rFonts w:cs="Times New Roman"/>
          <w:color w:val="000000" w:themeColor="text1"/>
          <w:sz w:val="22"/>
          <w:szCs w:val="22"/>
        </w:rPr>
        <w:t xml:space="preserve">le propriétaire du capteur est également propriétaire des données mesurées. Le propriétaire du capteur doit donc être mesure de récupérer ses données dans un format transposable. La transmission des données vers le constructeur du capteur ou un tiers doit faire l’objet d’une convention ou être spécifiées dans un contrat. </w:t>
      </w:r>
    </w:p>
    <w:p w:rsidR="00423341" w:rsidRDefault="00423341" w:rsidP="00265B20">
      <w:pPr>
        <w:pStyle w:val="Default"/>
        <w:ind w:firstLine="708"/>
        <w:rPr>
          <w:rFonts w:cs="Times New Roman"/>
          <w:color w:val="000000" w:themeColor="text1"/>
          <w:sz w:val="22"/>
          <w:szCs w:val="22"/>
        </w:rPr>
      </w:pPr>
    </w:p>
    <w:p w:rsidR="00265B20" w:rsidRPr="00265B20" w:rsidRDefault="00265B20" w:rsidP="00265B20">
      <w:pPr>
        <w:pStyle w:val="Default"/>
        <w:ind w:firstLine="708"/>
        <w:rPr>
          <w:rFonts w:cs="Times New Roman"/>
          <w:color w:val="000000" w:themeColor="text1"/>
          <w:sz w:val="22"/>
          <w:szCs w:val="22"/>
        </w:rPr>
      </w:pPr>
      <w:r w:rsidRPr="00265B20">
        <w:rPr>
          <w:rFonts w:cs="Times New Roman"/>
          <w:color w:val="000000" w:themeColor="text1"/>
          <w:sz w:val="22"/>
          <w:szCs w:val="22"/>
        </w:rPr>
        <w:t>Face aux enjeux liés aux données personnelles et à la cyber</w:t>
      </w:r>
      <w:r>
        <w:rPr>
          <w:rFonts w:cs="Times New Roman"/>
          <w:color w:val="000000" w:themeColor="text1"/>
          <w:sz w:val="22"/>
          <w:szCs w:val="22"/>
        </w:rPr>
        <w:t>-</w:t>
      </w:r>
      <w:r w:rsidRPr="00265B20">
        <w:rPr>
          <w:rFonts w:cs="Times New Roman"/>
          <w:color w:val="000000" w:themeColor="text1"/>
          <w:sz w:val="22"/>
          <w:szCs w:val="22"/>
        </w:rPr>
        <w:t>sécurité, nous souhaitons que des guides de bonne conduite soient publiés par la CNIL et l’ANSSI, à destination de tous les acteurs de l’écosystème et spécifiquement des développeurs d’objets connectés qui n’ont pas l’expérience ni souvent les ressources pour tra</w:t>
      </w:r>
      <w:r w:rsidR="00045D49">
        <w:rPr>
          <w:rFonts w:cs="Times New Roman"/>
          <w:color w:val="000000" w:themeColor="text1"/>
          <w:sz w:val="22"/>
          <w:szCs w:val="22"/>
        </w:rPr>
        <w:t>iter correctement ces questions.</w:t>
      </w:r>
    </w:p>
    <w:p w:rsidR="00265B20" w:rsidRPr="00265B20" w:rsidRDefault="00265B20" w:rsidP="00265B20">
      <w:pPr>
        <w:pStyle w:val="Default"/>
        <w:rPr>
          <w:rFonts w:cs="Times New Roman"/>
          <w:color w:val="000000" w:themeColor="text1"/>
          <w:sz w:val="22"/>
          <w:szCs w:val="22"/>
        </w:rPr>
      </w:pPr>
    </w:p>
    <w:p w:rsidR="000872F4" w:rsidRDefault="00265B20" w:rsidP="000872F4">
      <w:pPr>
        <w:pStyle w:val="Default"/>
        <w:ind w:firstLine="360"/>
        <w:rPr>
          <w:rFonts w:cs="Times New Roman"/>
          <w:color w:val="000000" w:themeColor="text1"/>
          <w:sz w:val="22"/>
          <w:szCs w:val="22"/>
        </w:rPr>
      </w:pPr>
      <w:r w:rsidRPr="00265B20">
        <w:rPr>
          <w:rFonts w:cs="Times New Roman"/>
          <w:color w:val="000000" w:themeColor="text1"/>
          <w:sz w:val="22"/>
          <w:szCs w:val="22"/>
        </w:rPr>
        <w:t>Une attention toute particu</w:t>
      </w:r>
      <w:r w:rsidR="00423341">
        <w:rPr>
          <w:rFonts w:cs="Times New Roman"/>
          <w:color w:val="000000" w:themeColor="text1"/>
          <w:sz w:val="22"/>
          <w:szCs w:val="22"/>
        </w:rPr>
        <w:t>lière doit aussi être accordée à</w:t>
      </w:r>
      <w:r w:rsidRPr="00265B20">
        <w:rPr>
          <w:rFonts w:cs="Times New Roman"/>
          <w:color w:val="000000" w:themeColor="text1"/>
          <w:sz w:val="22"/>
          <w:szCs w:val="22"/>
        </w:rPr>
        <w:t xml:space="preserve"> la confidentialité (voire souveraineté) des données dans un contexte où les opérateurs proposent souvent un hébergement en mode « Cloud »</w:t>
      </w:r>
      <w:r w:rsidR="00423341">
        <w:rPr>
          <w:rFonts w:cs="Times New Roman"/>
          <w:color w:val="000000" w:themeColor="text1"/>
          <w:sz w:val="22"/>
          <w:szCs w:val="22"/>
        </w:rPr>
        <w:t xml:space="preserve">. </w:t>
      </w:r>
    </w:p>
    <w:p w:rsidR="000872F4" w:rsidRDefault="000872F4" w:rsidP="000872F4">
      <w:pPr>
        <w:pStyle w:val="Default"/>
        <w:rPr>
          <w:rFonts w:cs="Times New Roman"/>
          <w:color w:val="000000" w:themeColor="text1"/>
          <w:sz w:val="22"/>
          <w:szCs w:val="22"/>
        </w:rPr>
      </w:pPr>
    </w:p>
    <w:p w:rsidR="000872F4" w:rsidRDefault="000872F4" w:rsidP="000872F4">
      <w:pPr>
        <w:pStyle w:val="Default"/>
        <w:rPr>
          <w:rFonts w:cs="Times New Roman"/>
          <w:color w:val="000000" w:themeColor="text1"/>
          <w:sz w:val="22"/>
          <w:szCs w:val="22"/>
        </w:rPr>
      </w:pPr>
    </w:p>
    <w:p w:rsidR="00481C27" w:rsidRPr="00E27899" w:rsidRDefault="00481C27" w:rsidP="000872F4">
      <w:pPr>
        <w:pStyle w:val="Default"/>
        <w:rPr>
          <w:i/>
          <w:color w:val="000000" w:themeColor="text1"/>
          <w:sz w:val="22"/>
          <w:szCs w:val="22"/>
        </w:rPr>
      </w:pPr>
      <w:r w:rsidRPr="00E27899">
        <w:rPr>
          <w:i/>
          <w:color w:val="000000" w:themeColor="text1"/>
          <w:sz w:val="22"/>
          <w:szCs w:val="22"/>
        </w:rPr>
        <w:t xml:space="preserve">Question n° 13 : Avez-vous des suggestions sur les thématiques que l’Arcep pourra aborder à l’avenir lors de nouveaux atelier sur l’internet des objets ou sur la manière dont les retours d’expériences pourraient être partagés entre pouvoirs publics et utilisateurs ? Avez-vous d’autres propositions qui permettraient de poursuivre le dialogue initié, notamment, par la présente démarche ? </w:t>
      </w:r>
    </w:p>
    <w:p w:rsidR="00904938" w:rsidRPr="00E27899" w:rsidRDefault="00904938" w:rsidP="00E27899">
      <w:pPr>
        <w:pStyle w:val="Default"/>
        <w:jc w:val="both"/>
        <w:rPr>
          <w:i/>
          <w:color w:val="000000" w:themeColor="text1"/>
          <w:sz w:val="22"/>
          <w:szCs w:val="22"/>
        </w:rPr>
      </w:pPr>
    </w:p>
    <w:p w:rsidR="000872F4" w:rsidRDefault="008F608C" w:rsidP="000872F4">
      <w:pPr>
        <w:ind w:firstLine="708"/>
        <w:rPr>
          <w:color w:val="000000" w:themeColor="text1"/>
        </w:rPr>
      </w:pPr>
      <w:r w:rsidRPr="008F608C">
        <w:rPr>
          <w:color w:val="000000" w:themeColor="text1"/>
        </w:rPr>
        <w:t>Pour assurer le succès de l’Internet des Objets, il faut que l’objet puisse continuer à communiquer sur un autre réseau</w:t>
      </w:r>
      <w:r w:rsidR="008815F1">
        <w:rPr>
          <w:color w:val="000000" w:themeColor="text1"/>
        </w:rPr>
        <w:t>,</w:t>
      </w:r>
      <w:r w:rsidRPr="008F608C">
        <w:rPr>
          <w:color w:val="000000" w:themeColor="text1"/>
        </w:rPr>
        <w:t xml:space="preserve"> même si un o</w:t>
      </w:r>
      <w:r w:rsidR="00265B20">
        <w:rPr>
          <w:color w:val="000000" w:themeColor="text1"/>
        </w:rPr>
        <w:t>pérateur arrête le service voir</w:t>
      </w:r>
      <w:r w:rsidRPr="008F608C">
        <w:rPr>
          <w:color w:val="000000" w:themeColor="text1"/>
        </w:rPr>
        <w:t xml:space="preserve"> disparaît. </w:t>
      </w:r>
      <w:r w:rsidR="008815F1">
        <w:rPr>
          <w:color w:val="000000" w:themeColor="text1"/>
        </w:rPr>
        <w:t>Il faut f</w:t>
      </w:r>
      <w:r w:rsidRPr="008F608C">
        <w:rPr>
          <w:color w:val="000000" w:themeColor="text1"/>
        </w:rPr>
        <w:t>avoriser l’interopérabilité qui a fait le succès de la téléphonie mobile</w:t>
      </w:r>
      <w:r w:rsidR="008815F1">
        <w:rPr>
          <w:color w:val="000000" w:themeColor="text1"/>
        </w:rPr>
        <w:t>.</w:t>
      </w:r>
    </w:p>
    <w:p w:rsidR="000872F4" w:rsidRDefault="000872F4" w:rsidP="000872F4">
      <w:pPr>
        <w:rPr>
          <w:color w:val="000000" w:themeColor="text1"/>
        </w:rPr>
      </w:pPr>
    </w:p>
    <w:p w:rsidR="00481C27" w:rsidRPr="000872F4" w:rsidRDefault="00481C27" w:rsidP="000872F4">
      <w:pPr>
        <w:rPr>
          <w:color w:val="000000" w:themeColor="text1"/>
        </w:rPr>
      </w:pPr>
      <w:r w:rsidRPr="00E27899">
        <w:rPr>
          <w:i/>
          <w:color w:val="000000" w:themeColor="text1"/>
        </w:rPr>
        <w:t xml:space="preserve">Question n° 14 : Avez-vous tout autre remarque ou commentaire que vous souhaitez communiquer au sujet des orientations pour </w:t>
      </w:r>
      <w:r w:rsidR="00B0200D" w:rsidRPr="00E27899">
        <w:rPr>
          <w:i/>
          <w:color w:val="000000" w:themeColor="text1"/>
        </w:rPr>
        <w:t>l’Arcep</w:t>
      </w:r>
      <w:r w:rsidRPr="00E27899">
        <w:rPr>
          <w:i/>
          <w:color w:val="000000" w:themeColor="text1"/>
        </w:rPr>
        <w:t xml:space="preserve"> qui sont présentées dans ce document ?</w:t>
      </w:r>
    </w:p>
    <w:p w:rsidR="00481C27" w:rsidRPr="00E27899" w:rsidRDefault="008F608C" w:rsidP="0095120F">
      <w:pPr>
        <w:pStyle w:val="Default"/>
        <w:ind w:firstLine="708"/>
        <w:jc w:val="both"/>
        <w:rPr>
          <w:i/>
          <w:color w:val="000000" w:themeColor="text1"/>
        </w:rPr>
      </w:pPr>
      <w:r w:rsidRPr="00E27899">
        <w:rPr>
          <w:color w:val="000000" w:themeColor="text1"/>
          <w:sz w:val="22"/>
          <w:szCs w:val="22"/>
        </w:rPr>
        <w:t>Pas de remarque spécifique d’Enedis à cette question</w:t>
      </w:r>
    </w:p>
    <w:sectPr w:rsidR="00481C27" w:rsidRPr="00E27899" w:rsidSect="005465A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E00" w:rsidRDefault="00EF5E00" w:rsidP="00EC13D5">
      <w:pPr>
        <w:spacing w:after="0" w:line="240" w:lineRule="auto"/>
      </w:pPr>
      <w:r>
        <w:separator/>
      </w:r>
    </w:p>
  </w:endnote>
  <w:endnote w:type="continuationSeparator" w:id="0">
    <w:p w:rsidR="00EF5E00" w:rsidRDefault="00EF5E00" w:rsidP="00EC13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51F" w:rsidRDefault="0031451F" w:rsidP="0031451F">
    <w:pPr>
      <w:jc w:val="right"/>
      <w:rPr>
        <w:rStyle w:val="Numrodepage"/>
        <w:sz w:val="16"/>
        <w:szCs w:val="16"/>
      </w:rPr>
    </w:pPr>
    <w:r>
      <w:rPr>
        <w:rStyle w:val="Numrodepage"/>
        <w:sz w:val="16"/>
        <w:szCs w:val="16"/>
      </w:rPr>
      <w:t xml:space="preserve">Page : </w:t>
    </w:r>
    <w:r w:rsidR="0033727A" w:rsidRPr="002109E8">
      <w:rPr>
        <w:rStyle w:val="Numrodepage"/>
        <w:sz w:val="16"/>
        <w:szCs w:val="16"/>
      </w:rPr>
      <w:fldChar w:fldCharType="begin"/>
    </w:r>
    <w:r w:rsidRPr="002109E8">
      <w:rPr>
        <w:rStyle w:val="Numrodepage"/>
        <w:sz w:val="16"/>
        <w:szCs w:val="16"/>
      </w:rPr>
      <w:instrText xml:space="preserve"> PAGE </w:instrText>
    </w:r>
    <w:r w:rsidR="0033727A" w:rsidRPr="002109E8">
      <w:rPr>
        <w:rStyle w:val="Numrodepage"/>
        <w:sz w:val="16"/>
        <w:szCs w:val="16"/>
      </w:rPr>
      <w:fldChar w:fldCharType="separate"/>
    </w:r>
    <w:r w:rsidR="000872F4">
      <w:rPr>
        <w:rStyle w:val="Numrodepage"/>
        <w:noProof/>
        <w:sz w:val="16"/>
        <w:szCs w:val="16"/>
      </w:rPr>
      <w:t>1</w:t>
    </w:r>
    <w:r w:rsidR="0033727A" w:rsidRPr="002109E8">
      <w:rPr>
        <w:rStyle w:val="Numrodepage"/>
        <w:sz w:val="16"/>
        <w:szCs w:val="16"/>
      </w:rPr>
      <w:fldChar w:fldCharType="end"/>
    </w:r>
    <w:r w:rsidRPr="002109E8">
      <w:rPr>
        <w:rStyle w:val="Numrodepage"/>
        <w:sz w:val="16"/>
        <w:szCs w:val="16"/>
      </w:rPr>
      <w:t>/</w:t>
    </w:r>
    <w:fldSimple w:instr=" NUMPAGES   \* MERGEFORMAT ">
      <w:r w:rsidR="000872F4" w:rsidRPr="000872F4">
        <w:rPr>
          <w:rStyle w:val="Numrodepage"/>
          <w:noProof/>
          <w:sz w:val="16"/>
          <w:szCs w:val="16"/>
        </w:rPr>
        <w:t>6</w:t>
      </w:r>
    </w:fldSimple>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tblPr>
    <w:tblGrid>
      <w:gridCol w:w="8471"/>
      <w:gridCol w:w="715"/>
    </w:tblGrid>
    <w:tr w:rsidR="0031451F" w:rsidTr="0031451F">
      <w:trPr>
        <w:cantSplit/>
        <w:trHeight w:hRule="exact" w:val="907"/>
      </w:trPr>
      <w:tc>
        <w:tcPr>
          <w:tcW w:w="4611" w:type="pct"/>
          <w:vAlign w:val="bottom"/>
        </w:tcPr>
        <w:p w:rsidR="0031451F" w:rsidRDefault="0033727A" w:rsidP="00890153">
          <w:pPr>
            <w:pStyle w:val="Pieddepage"/>
          </w:pPr>
          <w:r>
            <w:fldChar w:fldCharType="begin"/>
          </w:r>
          <w:r w:rsidR="00242E99">
            <w:instrText xml:space="preserve"> DATE \@ "dd/MM/yyyy" </w:instrText>
          </w:r>
          <w:r>
            <w:fldChar w:fldCharType="separate"/>
          </w:r>
          <w:r w:rsidR="00045D49">
            <w:rPr>
              <w:noProof/>
            </w:rPr>
            <w:t>15/09/2016</w:t>
          </w:r>
          <w:r>
            <w:rPr>
              <w:noProof/>
            </w:rPr>
            <w:fldChar w:fldCharType="end"/>
          </w:r>
        </w:p>
      </w:tc>
      <w:tc>
        <w:tcPr>
          <w:tcW w:w="389" w:type="pct"/>
          <w:vAlign w:val="bottom"/>
        </w:tcPr>
        <w:p w:rsidR="0031451F" w:rsidRDefault="0031451F" w:rsidP="00890153">
          <w:pPr>
            <w:pStyle w:val="Pieddepage"/>
            <w:jc w:val="right"/>
          </w:pPr>
          <w:r>
            <w:rPr>
              <w:noProof/>
            </w:rPr>
            <w:drawing>
              <wp:inline distT="0" distB="0" distL="0" distR="0">
                <wp:extent cx="360000" cy="360752"/>
                <wp:effectExtent l="19050" t="0" r="1950" b="0"/>
                <wp:docPr id="4" name="Image 3" descr="Icône_couleur_RVB_300 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ône_couleur_RVB_300 dpi.png"/>
                        <pic:cNvPicPr/>
                      </pic:nvPicPr>
                      <pic:blipFill>
                        <a:blip r:embed="rId1" cstate="print"/>
                        <a:stretch>
                          <a:fillRect/>
                        </a:stretch>
                      </pic:blipFill>
                      <pic:spPr>
                        <a:xfrm>
                          <a:off x="0" y="0"/>
                          <a:ext cx="360000" cy="360752"/>
                        </a:xfrm>
                        <a:prstGeom prst="rect">
                          <a:avLst/>
                        </a:prstGeom>
                      </pic:spPr>
                    </pic:pic>
                  </a:graphicData>
                </a:graphic>
              </wp:inline>
            </w:drawing>
          </w:r>
        </w:p>
      </w:tc>
    </w:tr>
  </w:tbl>
  <w:p w:rsidR="0031451F" w:rsidRPr="002109E8" w:rsidRDefault="0031451F" w:rsidP="0031451F">
    <w:pPr>
      <w:pStyle w:val="Pieddepage"/>
      <w:rPr>
        <w:sz w:val="2"/>
        <w:szCs w:val="2"/>
      </w:rPr>
    </w:pPr>
  </w:p>
  <w:p w:rsidR="0031451F" w:rsidRDefault="0031451F" w:rsidP="0031451F"/>
  <w:p w:rsidR="00EC13D5" w:rsidRDefault="00EC13D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E00" w:rsidRDefault="00EF5E00" w:rsidP="00EC13D5">
      <w:pPr>
        <w:spacing w:after="0" w:line="240" w:lineRule="auto"/>
      </w:pPr>
      <w:r>
        <w:separator/>
      </w:r>
    </w:p>
  </w:footnote>
  <w:footnote w:type="continuationSeparator" w:id="0">
    <w:p w:rsidR="00EF5E00" w:rsidRDefault="00EF5E00" w:rsidP="00EC13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tblPr>
    <w:tblGrid>
      <w:gridCol w:w="1746"/>
      <w:gridCol w:w="7440"/>
    </w:tblGrid>
    <w:tr w:rsidR="0031451F" w:rsidTr="00890153">
      <w:trPr>
        <w:cantSplit/>
      </w:trPr>
      <w:tc>
        <w:tcPr>
          <w:tcW w:w="1758" w:type="dxa"/>
        </w:tcPr>
        <w:p w:rsidR="0031451F" w:rsidRDefault="0031451F" w:rsidP="00890153">
          <w:pPr>
            <w:pStyle w:val="En-tte"/>
          </w:pPr>
          <w:r>
            <w:rPr>
              <w:noProof/>
            </w:rPr>
            <w:drawing>
              <wp:inline distT="0" distB="0" distL="0" distR="0">
                <wp:extent cx="972000" cy="307725"/>
                <wp:effectExtent l="19050" t="0" r="0" b="0"/>
                <wp:docPr id="5" name="Image 4" descr="Fredd + signature_couleur_RVB_300 dp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edd + signature_couleur_RVB_300 dpi.png"/>
                        <pic:cNvPicPr/>
                      </pic:nvPicPr>
                      <pic:blipFill>
                        <a:blip r:embed="rId1"/>
                        <a:stretch>
                          <a:fillRect/>
                        </a:stretch>
                      </pic:blipFill>
                      <pic:spPr>
                        <a:xfrm>
                          <a:off x="0" y="0"/>
                          <a:ext cx="972000" cy="307725"/>
                        </a:xfrm>
                        <a:prstGeom prst="rect">
                          <a:avLst/>
                        </a:prstGeom>
                      </pic:spPr>
                    </pic:pic>
                  </a:graphicData>
                </a:graphic>
              </wp:inline>
            </w:drawing>
          </w:r>
        </w:p>
      </w:tc>
      <w:tc>
        <w:tcPr>
          <w:tcW w:w="8674" w:type="dxa"/>
        </w:tcPr>
        <w:p w:rsidR="0031451F" w:rsidRPr="002109E8" w:rsidRDefault="0031451F" w:rsidP="0031451F">
          <w:pPr>
            <w:pStyle w:val="En-tte"/>
            <w:jc w:val="right"/>
            <w:rPr>
              <w:sz w:val="24"/>
              <w:szCs w:val="24"/>
            </w:rPr>
          </w:pPr>
        </w:p>
      </w:tc>
    </w:tr>
  </w:tbl>
  <w:p w:rsidR="00EC13D5" w:rsidRDefault="00EC13D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77E0B"/>
    <w:multiLevelType w:val="hybridMultilevel"/>
    <w:tmpl w:val="F1D879D4"/>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6AD66A1"/>
    <w:multiLevelType w:val="hybridMultilevel"/>
    <w:tmpl w:val="1B200974"/>
    <w:lvl w:ilvl="0" w:tplc="2E6081B2">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46A090C"/>
    <w:multiLevelType w:val="hybridMultilevel"/>
    <w:tmpl w:val="8A8CB15E"/>
    <w:lvl w:ilvl="0" w:tplc="7A78B27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6583141F"/>
    <w:multiLevelType w:val="hybridMultilevel"/>
    <w:tmpl w:val="5A26F9B8"/>
    <w:lvl w:ilvl="0" w:tplc="9EAA82F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74D73E15"/>
    <w:multiLevelType w:val="hybridMultilevel"/>
    <w:tmpl w:val="E534A44C"/>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77EC68C2"/>
    <w:multiLevelType w:val="hybridMultilevel"/>
    <w:tmpl w:val="C9EA9234"/>
    <w:lvl w:ilvl="0" w:tplc="9EAA82F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characterSpacingControl w:val="doNotCompress"/>
  <w:hdrShapeDefaults>
    <o:shapedefaults v:ext="edit" spidmax="22530"/>
  </w:hdrShapeDefaults>
  <w:footnotePr>
    <w:footnote w:id="-1"/>
    <w:footnote w:id="0"/>
  </w:footnotePr>
  <w:endnotePr>
    <w:endnote w:id="-1"/>
    <w:endnote w:id="0"/>
  </w:endnotePr>
  <w:compat/>
  <w:rsids>
    <w:rsidRoot w:val="00481C27"/>
    <w:rsid w:val="00000EE5"/>
    <w:rsid w:val="0000284C"/>
    <w:rsid w:val="00014975"/>
    <w:rsid w:val="00022F08"/>
    <w:rsid w:val="00045D49"/>
    <w:rsid w:val="00047A5C"/>
    <w:rsid w:val="000872F4"/>
    <w:rsid w:val="000958A3"/>
    <w:rsid w:val="00097BA7"/>
    <w:rsid w:val="000A6663"/>
    <w:rsid w:val="000B509C"/>
    <w:rsid w:val="000E054D"/>
    <w:rsid w:val="00104168"/>
    <w:rsid w:val="00117B27"/>
    <w:rsid w:val="00130B00"/>
    <w:rsid w:val="0014421D"/>
    <w:rsid w:val="00144AEA"/>
    <w:rsid w:val="001616A3"/>
    <w:rsid w:val="0017136B"/>
    <w:rsid w:val="00173DA4"/>
    <w:rsid w:val="00181F2F"/>
    <w:rsid w:val="00184D0E"/>
    <w:rsid w:val="001E3274"/>
    <w:rsid w:val="002237E0"/>
    <w:rsid w:val="00224ECF"/>
    <w:rsid w:val="00230937"/>
    <w:rsid w:val="00242E99"/>
    <w:rsid w:val="00265B20"/>
    <w:rsid w:val="002B130F"/>
    <w:rsid w:val="002B3849"/>
    <w:rsid w:val="002B5480"/>
    <w:rsid w:val="002D79F4"/>
    <w:rsid w:val="0031451F"/>
    <w:rsid w:val="0033727A"/>
    <w:rsid w:val="00375327"/>
    <w:rsid w:val="00387AB0"/>
    <w:rsid w:val="003C468B"/>
    <w:rsid w:val="0041460C"/>
    <w:rsid w:val="00423341"/>
    <w:rsid w:val="00423861"/>
    <w:rsid w:val="00426E53"/>
    <w:rsid w:val="00432019"/>
    <w:rsid w:val="0045524F"/>
    <w:rsid w:val="00481C27"/>
    <w:rsid w:val="004A737A"/>
    <w:rsid w:val="004B1895"/>
    <w:rsid w:val="005161AF"/>
    <w:rsid w:val="005365BC"/>
    <w:rsid w:val="005465A3"/>
    <w:rsid w:val="00547700"/>
    <w:rsid w:val="00585E77"/>
    <w:rsid w:val="005B2210"/>
    <w:rsid w:val="005D2067"/>
    <w:rsid w:val="005E13A4"/>
    <w:rsid w:val="00616738"/>
    <w:rsid w:val="00644A1A"/>
    <w:rsid w:val="006470A7"/>
    <w:rsid w:val="0065562C"/>
    <w:rsid w:val="00663563"/>
    <w:rsid w:val="00666DF1"/>
    <w:rsid w:val="00674672"/>
    <w:rsid w:val="00687342"/>
    <w:rsid w:val="006908F8"/>
    <w:rsid w:val="00697505"/>
    <w:rsid w:val="006C1F56"/>
    <w:rsid w:val="006F2C92"/>
    <w:rsid w:val="006F33D7"/>
    <w:rsid w:val="00700230"/>
    <w:rsid w:val="007024C0"/>
    <w:rsid w:val="00704B0F"/>
    <w:rsid w:val="007357A1"/>
    <w:rsid w:val="0076566C"/>
    <w:rsid w:val="00775B71"/>
    <w:rsid w:val="00791B67"/>
    <w:rsid w:val="007C21F4"/>
    <w:rsid w:val="008207F5"/>
    <w:rsid w:val="008305D7"/>
    <w:rsid w:val="00873281"/>
    <w:rsid w:val="008815F1"/>
    <w:rsid w:val="008953A4"/>
    <w:rsid w:val="008B7002"/>
    <w:rsid w:val="008F608C"/>
    <w:rsid w:val="00904938"/>
    <w:rsid w:val="00904C92"/>
    <w:rsid w:val="00926A84"/>
    <w:rsid w:val="009333EA"/>
    <w:rsid w:val="0095120F"/>
    <w:rsid w:val="00970AD2"/>
    <w:rsid w:val="009A0115"/>
    <w:rsid w:val="009A51BF"/>
    <w:rsid w:val="009C612E"/>
    <w:rsid w:val="009E6872"/>
    <w:rsid w:val="00A110FF"/>
    <w:rsid w:val="00A73284"/>
    <w:rsid w:val="00A876B5"/>
    <w:rsid w:val="00A87AB7"/>
    <w:rsid w:val="00AB7EEA"/>
    <w:rsid w:val="00AD187B"/>
    <w:rsid w:val="00B0200D"/>
    <w:rsid w:val="00B32856"/>
    <w:rsid w:val="00B44470"/>
    <w:rsid w:val="00BA713A"/>
    <w:rsid w:val="00BA7475"/>
    <w:rsid w:val="00BD01FA"/>
    <w:rsid w:val="00BE7C59"/>
    <w:rsid w:val="00BF44FB"/>
    <w:rsid w:val="00C0551F"/>
    <w:rsid w:val="00C21B7C"/>
    <w:rsid w:val="00C22D78"/>
    <w:rsid w:val="00C236C5"/>
    <w:rsid w:val="00C34BA2"/>
    <w:rsid w:val="00C4621C"/>
    <w:rsid w:val="00C548FE"/>
    <w:rsid w:val="00C712E0"/>
    <w:rsid w:val="00C91CB7"/>
    <w:rsid w:val="00CD4A96"/>
    <w:rsid w:val="00D01882"/>
    <w:rsid w:val="00D13195"/>
    <w:rsid w:val="00D70249"/>
    <w:rsid w:val="00D820EA"/>
    <w:rsid w:val="00D92B27"/>
    <w:rsid w:val="00D95DFB"/>
    <w:rsid w:val="00DA7070"/>
    <w:rsid w:val="00DF3F01"/>
    <w:rsid w:val="00DF4553"/>
    <w:rsid w:val="00E0137C"/>
    <w:rsid w:val="00E27899"/>
    <w:rsid w:val="00E85134"/>
    <w:rsid w:val="00E92B1D"/>
    <w:rsid w:val="00EC13D5"/>
    <w:rsid w:val="00ED08DB"/>
    <w:rsid w:val="00EE481C"/>
    <w:rsid w:val="00EF2993"/>
    <w:rsid w:val="00EF5E00"/>
    <w:rsid w:val="00F30E9B"/>
    <w:rsid w:val="00F31561"/>
    <w:rsid w:val="00F666E1"/>
    <w:rsid w:val="00F81811"/>
    <w:rsid w:val="00FA52F3"/>
    <w:rsid w:val="00FF3AB6"/>
    <w:rsid w:val="00FF629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5A3"/>
  </w:style>
  <w:style w:type="paragraph" w:styleId="Titre2">
    <w:name w:val="heading 2"/>
    <w:basedOn w:val="Normal"/>
    <w:link w:val="Titre2Car"/>
    <w:uiPriority w:val="9"/>
    <w:qFormat/>
    <w:rsid w:val="00C91CB7"/>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481C27"/>
    <w:pPr>
      <w:autoSpaceDE w:val="0"/>
      <w:autoSpaceDN w:val="0"/>
      <w:adjustRightInd w:val="0"/>
      <w:spacing w:after="0" w:line="240" w:lineRule="auto"/>
    </w:pPr>
    <w:rPr>
      <w:rFonts w:ascii="Calibri" w:hAnsi="Calibri" w:cs="Calibri"/>
      <w:color w:val="000000"/>
      <w:sz w:val="24"/>
      <w:szCs w:val="24"/>
    </w:rPr>
  </w:style>
  <w:style w:type="paragraph" w:styleId="Paragraphedeliste">
    <w:name w:val="List Paragraph"/>
    <w:basedOn w:val="Normal"/>
    <w:uiPriority w:val="34"/>
    <w:qFormat/>
    <w:rsid w:val="00130B00"/>
    <w:pPr>
      <w:ind w:left="720"/>
      <w:contextualSpacing/>
    </w:pPr>
  </w:style>
  <w:style w:type="paragraph" w:styleId="En-tte">
    <w:name w:val="header"/>
    <w:basedOn w:val="Normal"/>
    <w:link w:val="En-tteCar"/>
    <w:uiPriority w:val="99"/>
    <w:unhideWhenUsed/>
    <w:rsid w:val="00EC13D5"/>
    <w:pPr>
      <w:tabs>
        <w:tab w:val="center" w:pos="4536"/>
        <w:tab w:val="right" w:pos="9072"/>
      </w:tabs>
      <w:spacing w:after="0" w:line="240" w:lineRule="auto"/>
    </w:pPr>
  </w:style>
  <w:style w:type="character" w:customStyle="1" w:styleId="En-tteCar">
    <w:name w:val="En-tête Car"/>
    <w:basedOn w:val="Policepardfaut"/>
    <w:link w:val="En-tte"/>
    <w:uiPriority w:val="99"/>
    <w:rsid w:val="00EC13D5"/>
  </w:style>
  <w:style w:type="paragraph" w:styleId="Pieddepage">
    <w:name w:val="footer"/>
    <w:basedOn w:val="Normal"/>
    <w:link w:val="PieddepageCar"/>
    <w:uiPriority w:val="99"/>
    <w:semiHidden/>
    <w:unhideWhenUsed/>
    <w:rsid w:val="00EC13D5"/>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EC13D5"/>
  </w:style>
  <w:style w:type="table" w:styleId="Grilledutableau">
    <w:name w:val="Table Grid"/>
    <w:basedOn w:val="TableauNormal"/>
    <w:uiPriority w:val="59"/>
    <w:rsid w:val="0031451F"/>
    <w:pPr>
      <w:spacing w:after="0" w:line="240" w:lineRule="auto"/>
    </w:pPr>
    <w:rPr>
      <w:rFonts w:ascii="Arial" w:eastAsia="Times New Roman" w:hAnsi="Arial" w:cs="Times New Roman"/>
      <w:color w:val="000000" w:themeColor="text1"/>
      <w:sz w:val="20"/>
      <w:szCs w:val="20"/>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31451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1451F"/>
    <w:rPr>
      <w:rFonts w:ascii="Tahoma" w:hAnsi="Tahoma" w:cs="Tahoma"/>
      <w:sz w:val="16"/>
      <w:szCs w:val="16"/>
    </w:rPr>
  </w:style>
  <w:style w:type="character" w:styleId="Numrodepage">
    <w:name w:val="page number"/>
    <w:basedOn w:val="Policepardfaut"/>
    <w:uiPriority w:val="99"/>
    <w:semiHidden/>
    <w:rsid w:val="0031451F"/>
  </w:style>
  <w:style w:type="character" w:styleId="Marquedecommentaire">
    <w:name w:val="annotation reference"/>
    <w:basedOn w:val="Policepardfaut"/>
    <w:uiPriority w:val="99"/>
    <w:semiHidden/>
    <w:unhideWhenUsed/>
    <w:rsid w:val="00A87AB7"/>
    <w:rPr>
      <w:sz w:val="16"/>
      <w:szCs w:val="16"/>
    </w:rPr>
  </w:style>
  <w:style w:type="paragraph" w:styleId="Commentaire">
    <w:name w:val="annotation text"/>
    <w:basedOn w:val="Normal"/>
    <w:link w:val="CommentaireCar"/>
    <w:uiPriority w:val="99"/>
    <w:semiHidden/>
    <w:unhideWhenUsed/>
    <w:rsid w:val="00A87AB7"/>
    <w:pPr>
      <w:spacing w:line="240" w:lineRule="auto"/>
    </w:pPr>
    <w:rPr>
      <w:sz w:val="20"/>
      <w:szCs w:val="20"/>
    </w:rPr>
  </w:style>
  <w:style w:type="character" w:customStyle="1" w:styleId="CommentaireCar">
    <w:name w:val="Commentaire Car"/>
    <w:basedOn w:val="Policepardfaut"/>
    <w:link w:val="Commentaire"/>
    <w:uiPriority w:val="99"/>
    <w:semiHidden/>
    <w:rsid w:val="00A87AB7"/>
    <w:rPr>
      <w:sz w:val="20"/>
      <w:szCs w:val="20"/>
    </w:rPr>
  </w:style>
  <w:style w:type="paragraph" w:styleId="Objetducommentaire">
    <w:name w:val="annotation subject"/>
    <w:basedOn w:val="Commentaire"/>
    <w:next w:val="Commentaire"/>
    <w:link w:val="ObjetducommentaireCar"/>
    <w:uiPriority w:val="99"/>
    <w:semiHidden/>
    <w:unhideWhenUsed/>
    <w:rsid w:val="00A87AB7"/>
    <w:rPr>
      <w:b/>
      <w:bCs/>
    </w:rPr>
  </w:style>
  <w:style w:type="character" w:customStyle="1" w:styleId="ObjetducommentaireCar">
    <w:name w:val="Objet du commentaire Car"/>
    <w:basedOn w:val="CommentaireCar"/>
    <w:link w:val="Objetducommentaire"/>
    <w:uiPriority w:val="99"/>
    <w:semiHidden/>
    <w:rsid w:val="00A87AB7"/>
    <w:rPr>
      <w:b/>
      <w:bCs/>
    </w:rPr>
  </w:style>
  <w:style w:type="paragraph" w:customStyle="1" w:styleId="paragraphe">
    <w:name w:val="paragraphe"/>
    <w:basedOn w:val="Normal"/>
    <w:rsid w:val="00C91CB7"/>
    <w:pPr>
      <w:spacing w:before="120" w:after="0" w:line="240" w:lineRule="auto"/>
      <w:jc w:val="both"/>
    </w:pPr>
    <w:rPr>
      <w:rFonts w:ascii="Times New Roman" w:eastAsia="Times New Roman" w:hAnsi="Times New Roman" w:cs="Times New Roman"/>
      <w:szCs w:val="20"/>
      <w:lang w:eastAsia="fr-FR"/>
    </w:rPr>
  </w:style>
  <w:style w:type="character" w:customStyle="1" w:styleId="Titre2Car">
    <w:name w:val="Titre 2 Car"/>
    <w:basedOn w:val="Policepardfaut"/>
    <w:link w:val="Titre2"/>
    <w:uiPriority w:val="9"/>
    <w:rsid w:val="00C91CB7"/>
    <w:rPr>
      <w:rFonts w:ascii="Times New Roman" w:eastAsia="Times New Roman" w:hAnsi="Times New Roman" w:cs="Times New Roman"/>
      <w:b/>
      <w:bCs/>
      <w:sz w:val="36"/>
      <w:szCs w:val="36"/>
      <w:lang w:eastAsia="fr-FR"/>
    </w:rPr>
  </w:style>
  <w:style w:type="paragraph" w:customStyle="1" w:styleId="decouverte-subtitle">
    <w:name w:val="decouverte-subtitle"/>
    <w:basedOn w:val="Normal"/>
    <w:rsid w:val="00C91CB7"/>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r="http://schemas.openxmlformats.org/officeDocument/2006/relationships" xmlns:w="http://schemas.openxmlformats.org/wordprocessingml/2006/main">
  <w:divs>
    <w:div w:id="98256687">
      <w:bodyDiv w:val="1"/>
      <w:marLeft w:val="0"/>
      <w:marRight w:val="0"/>
      <w:marTop w:val="0"/>
      <w:marBottom w:val="0"/>
      <w:divBdr>
        <w:top w:val="none" w:sz="0" w:space="0" w:color="auto"/>
        <w:left w:val="none" w:sz="0" w:space="0" w:color="auto"/>
        <w:bottom w:val="none" w:sz="0" w:space="0" w:color="auto"/>
        <w:right w:val="none" w:sz="0" w:space="0" w:color="auto"/>
      </w:divBdr>
    </w:div>
    <w:div w:id="157887628">
      <w:bodyDiv w:val="1"/>
      <w:marLeft w:val="0"/>
      <w:marRight w:val="0"/>
      <w:marTop w:val="0"/>
      <w:marBottom w:val="0"/>
      <w:divBdr>
        <w:top w:val="none" w:sz="0" w:space="0" w:color="auto"/>
        <w:left w:val="none" w:sz="0" w:space="0" w:color="auto"/>
        <w:bottom w:val="none" w:sz="0" w:space="0" w:color="auto"/>
        <w:right w:val="none" w:sz="0" w:space="0" w:color="auto"/>
      </w:divBdr>
    </w:div>
    <w:div w:id="289240144">
      <w:bodyDiv w:val="1"/>
      <w:marLeft w:val="0"/>
      <w:marRight w:val="0"/>
      <w:marTop w:val="0"/>
      <w:marBottom w:val="0"/>
      <w:divBdr>
        <w:top w:val="none" w:sz="0" w:space="0" w:color="auto"/>
        <w:left w:val="none" w:sz="0" w:space="0" w:color="auto"/>
        <w:bottom w:val="none" w:sz="0" w:space="0" w:color="auto"/>
        <w:right w:val="none" w:sz="0" w:space="0" w:color="auto"/>
      </w:divBdr>
    </w:div>
    <w:div w:id="337780572">
      <w:bodyDiv w:val="1"/>
      <w:marLeft w:val="0"/>
      <w:marRight w:val="0"/>
      <w:marTop w:val="0"/>
      <w:marBottom w:val="0"/>
      <w:divBdr>
        <w:top w:val="none" w:sz="0" w:space="0" w:color="auto"/>
        <w:left w:val="none" w:sz="0" w:space="0" w:color="auto"/>
        <w:bottom w:val="none" w:sz="0" w:space="0" w:color="auto"/>
        <w:right w:val="none" w:sz="0" w:space="0" w:color="auto"/>
      </w:divBdr>
    </w:div>
    <w:div w:id="363560032">
      <w:bodyDiv w:val="1"/>
      <w:marLeft w:val="0"/>
      <w:marRight w:val="0"/>
      <w:marTop w:val="0"/>
      <w:marBottom w:val="0"/>
      <w:divBdr>
        <w:top w:val="none" w:sz="0" w:space="0" w:color="auto"/>
        <w:left w:val="none" w:sz="0" w:space="0" w:color="auto"/>
        <w:bottom w:val="none" w:sz="0" w:space="0" w:color="auto"/>
        <w:right w:val="none" w:sz="0" w:space="0" w:color="auto"/>
      </w:divBdr>
    </w:div>
    <w:div w:id="460684783">
      <w:bodyDiv w:val="1"/>
      <w:marLeft w:val="0"/>
      <w:marRight w:val="0"/>
      <w:marTop w:val="0"/>
      <w:marBottom w:val="0"/>
      <w:divBdr>
        <w:top w:val="none" w:sz="0" w:space="0" w:color="auto"/>
        <w:left w:val="none" w:sz="0" w:space="0" w:color="auto"/>
        <w:bottom w:val="none" w:sz="0" w:space="0" w:color="auto"/>
        <w:right w:val="none" w:sz="0" w:space="0" w:color="auto"/>
      </w:divBdr>
    </w:div>
    <w:div w:id="502816867">
      <w:bodyDiv w:val="1"/>
      <w:marLeft w:val="0"/>
      <w:marRight w:val="0"/>
      <w:marTop w:val="0"/>
      <w:marBottom w:val="0"/>
      <w:divBdr>
        <w:top w:val="none" w:sz="0" w:space="0" w:color="auto"/>
        <w:left w:val="none" w:sz="0" w:space="0" w:color="auto"/>
        <w:bottom w:val="none" w:sz="0" w:space="0" w:color="auto"/>
        <w:right w:val="none" w:sz="0" w:space="0" w:color="auto"/>
      </w:divBdr>
    </w:div>
    <w:div w:id="697849826">
      <w:bodyDiv w:val="1"/>
      <w:marLeft w:val="0"/>
      <w:marRight w:val="0"/>
      <w:marTop w:val="0"/>
      <w:marBottom w:val="0"/>
      <w:divBdr>
        <w:top w:val="none" w:sz="0" w:space="0" w:color="auto"/>
        <w:left w:val="none" w:sz="0" w:space="0" w:color="auto"/>
        <w:bottom w:val="none" w:sz="0" w:space="0" w:color="auto"/>
        <w:right w:val="none" w:sz="0" w:space="0" w:color="auto"/>
      </w:divBdr>
    </w:div>
    <w:div w:id="1097597284">
      <w:bodyDiv w:val="1"/>
      <w:marLeft w:val="0"/>
      <w:marRight w:val="0"/>
      <w:marTop w:val="0"/>
      <w:marBottom w:val="0"/>
      <w:divBdr>
        <w:top w:val="none" w:sz="0" w:space="0" w:color="auto"/>
        <w:left w:val="none" w:sz="0" w:space="0" w:color="auto"/>
        <w:bottom w:val="none" w:sz="0" w:space="0" w:color="auto"/>
        <w:right w:val="none" w:sz="0" w:space="0" w:color="auto"/>
      </w:divBdr>
    </w:div>
    <w:div w:id="116558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C606A-D617-4C98-8917-31DE03DAE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1926</Words>
  <Characters>10595</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ERDF</Company>
  <LinksUpToDate>false</LinksUpToDate>
  <CharactersWithSpaces>12497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H82548</dc:creator>
  <cp:lastModifiedBy>H82548</cp:lastModifiedBy>
  <cp:revision>4</cp:revision>
  <cp:lastPrinted>2016-09-09T11:28:00Z</cp:lastPrinted>
  <dcterms:created xsi:type="dcterms:W3CDTF">2016-09-15T12:59:00Z</dcterms:created>
  <dcterms:modified xsi:type="dcterms:W3CDTF">2016-09-15T13:04:00Z</dcterms:modified>
</cp:coreProperties>
</file>